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3242" w14:textId="77777777" w:rsidR="002B7203" w:rsidRPr="00B42B55" w:rsidRDefault="002B7203" w:rsidP="002B72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42B55">
        <w:rPr>
          <w:rFonts w:ascii="Times New Roman" w:hAnsi="Times New Roman" w:cs="Times New Roman"/>
          <w:b/>
          <w:bCs/>
          <w:sz w:val="40"/>
          <w:szCs w:val="40"/>
        </w:rPr>
        <w:t>PROSPEKT INFORMACYJNY</w:t>
      </w:r>
    </w:p>
    <w:p w14:paraId="7957F2D4" w14:textId="77777777" w:rsidR="002B7203" w:rsidRPr="00650361" w:rsidRDefault="002B7203" w:rsidP="002B7203">
      <w:pPr>
        <w:rPr>
          <w:rFonts w:ascii="Times New Roman" w:hAnsi="Times New Roman" w:cs="Times New Roman"/>
          <w:b/>
          <w:bCs/>
        </w:rPr>
      </w:pPr>
    </w:p>
    <w:p w14:paraId="3E0B9B96" w14:textId="77777777" w:rsidR="002B7203" w:rsidRDefault="002B7203" w:rsidP="002B72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Osiedle Fox Garden</w:t>
      </w:r>
    </w:p>
    <w:p w14:paraId="5E5CAAF9" w14:textId="77777777" w:rsidR="002B7203" w:rsidRDefault="002B7203" w:rsidP="002B72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Sowia</w:t>
      </w:r>
    </w:p>
    <w:p w14:paraId="2417F85D" w14:textId="77777777" w:rsidR="002B7203" w:rsidRDefault="002B7203" w:rsidP="002B72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Przedsięwzięcie deweloperskie : </w:t>
      </w:r>
      <w:r>
        <w:rPr>
          <w:rFonts w:ascii="Times New Roman" w:hAnsi="Times New Roman" w:cs="Times New Roman"/>
          <w:i/>
          <w:iCs/>
        </w:rPr>
        <w:t>Sowia 34 i 36</w:t>
      </w:r>
    </w:p>
    <w:p w14:paraId="469FBC76" w14:textId="321D6F4B" w:rsidR="002B7203" w:rsidRDefault="002B7203" w:rsidP="002B720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Lokal : </w:t>
      </w:r>
    </w:p>
    <w:p w14:paraId="790DC8F0" w14:textId="77777777" w:rsidR="002B7203" w:rsidRPr="00B42B55" w:rsidRDefault="002B7203" w:rsidP="002B72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Projekt : </w:t>
      </w:r>
      <w:r w:rsidRPr="00B42B55">
        <w:rPr>
          <w:rFonts w:ascii="Times New Roman" w:hAnsi="Times New Roman" w:cs="Times New Roman"/>
          <w:i/>
          <w:iCs/>
        </w:rPr>
        <w:t>Rodzinny 1</w:t>
      </w:r>
    </w:p>
    <w:p w14:paraId="20E2A9BB" w14:textId="77777777" w:rsidR="002B7203" w:rsidRPr="00650361" w:rsidRDefault="002B7203" w:rsidP="002B7203">
      <w:pPr>
        <w:rPr>
          <w:rFonts w:ascii="Times New Roman" w:hAnsi="Times New Roman" w:cs="Times New Roman"/>
          <w:b/>
          <w:bCs/>
        </w:rPr>
      </w:pPr>
    </w:p>
    <w:p w14:paraId="32963F3B" w14:textId="77777777" w:rsidR="002B7203" w:rsidRPr="00650361" w:rsidRDefault="002B7203" w:rsidP="002B7203">
      <w:p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CZĘŚĆ OGÓLNA</w:t>
      </w:r>
    </w:p>
    <w:p w14:paraId="49047B2C" w14:textId="77777777" w:rsidR="002B7203" w:rsidRPr="00650361" w:rsidRDefault="002B7203" w:rsidP="002B7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DANE IDENTYFIKCYJNE I KONTAKTOWE DOTYCZĄCE DEWELOPERA</w:t>
      </w:r>
    </w:p>
    <w:tbl>
      <w:tblPr>
        <w:tblStyle w:val="Tabelasiatki2akcent2"/>
        <w:tblW w:w="9539" w:type="dxa"/>
        <w:tblLook w:val="0000" w:firstRow="0" w:lastRow="0" w:firstColumn="0" w:lastColumn="0" w:noHBand="0" w:noVBand="0"/>
      </w:tblPr>
      <w:tblGrid>
        <w:gridCol w:w="2603"/>
        <w:gridCol w:w="3292"/>
        <w:gridCol w:w="3644"/>
      </w:tblGrid>
      <w:tr w:rsidR="002B7203" w:rsidRPr="00650361" w14:paraId="3BFA1477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9" w:type="dxa"/>
            <w:gridSpan w:val="3"/>
          </w:tcPr>
          <w:p w14:paraId="4BF61E6D" w14:textId="77777777" w:rsidR="002B7203" w:rsidRPr="00650361" w:rsidRDefault="002B7203" w:rsidP="00BA60D1">
            <w:pPr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DANE DEWELOPERA</w:t>
            </w:r>
          </w:p>
        </w:tc>
      </w:tr>
      <w:tr w:rsidR="002B7203" w:rsidRPr="00650361" w14:paraId="233F1427" w14:textId="77777777" w:rsidTr="00BA60D1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03EFDD0B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Deweloper</w:t>
            </w:r>
          </w:p>
        </w:tc>
        <w:tc>
          <w:tcPr>
            <w:tcW w:w="6936" w:type="dxa"/>
            <w:gridSpan w:val="2"/>
          </w:tcPr>
          <w:p w14:paraId="23FFB13C" w14:textId="77777777" w:rsidR="002B7203" w:rsidRPr="00650361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Spartan Domy Spółka z ograniczoną odpowiedzialnością</w:t>
            </w:r>
          </w:p>
        </w:tc>
      </w:tr>
      <w:tr w:rsidR="002B7203" w:rsidRPr="00650361" w14:paraId="5BCC5E2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45F4EF57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6" w:type="dxa"/>
            <w:gridSpan w:val="2"/>
          </w:tcPr>
          <w:p w14:paraId="608EA7E8" w14:textId="77777777" w:rsidR="002B7203" w:rsidRPr="00650361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Sowia 1, 81-198 Suchy Dwór</w:t>
            </w:r>
          </w:p>
        </w:tc>
      </w:tr>
      <w:tr w:rsidR="002B7203" w:rsidRPr="00650361" w14:paraId="119BEA30" w14:textId="77777777" w:rsidTr="00BA60D1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4A45B798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936" w:type="dxa"/>
            <w:gridSpan w:val="2"/>
          </w:tcPr>
          <w:p w14:paraId="6FA1147D" w14:textId="77777777" w:rsidR="002B7203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0000451163</w:t>
            </w:r>
          </w:p>
        </w:tc>
      </w:tr>
      <w:tr w:rsidR="002B7203" w:rsidRPr="00650361" w14:paraId="5A43DD8B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2573E0C5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Nip i Regon</w:t>
            </w:r>
          </w:p>
        </w:tc>
        <w:tc>
          <w:tcPr>
            <w:tcW w:w="3292" w:type="dxa"/>
          </w:tcPr>
          <w:p w14:paraId="6982BB48" w14:textId="77777777" w:rsidR="002B7203" w:rsidRPr="00650361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 xml:space="preserve"> 5871700074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4" w:type="dxa"/>
          </w:tcPr>
          <w:p w14:paraId="5757B191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REGON</w:t>
            </w:r>
            <w:r>
              <w:rPr>
                <w:rFonts w:ascii="Times New Roman" w:hAnsi="Times New Roman" w:cs="Times New Roman"/>
              </w:rPr>
              <w:t xml:space="preserve"> 221832028</w:t>
            </w:r>
          </w:p>
        </w:tc>
      </w:tr>
      <w:tr w:rsidR="002B7203" w:rsidRPr="00650361" w14:paraId="02AF2870" w14:textId="77777777" w:rsidTr="00BA60D1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7896FD7A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6936" w:type="dxa"/>
            <w:gridSpan w:val="2"/>
          </w:tcPr>
          <w:p w14:paraId="5387254F" w14:textId="77777777" w:rsidR="002B7203" w:rsidRPr="00650361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513 330 612</w:t>
            </w:r>
          </w:p>
        </w:tc>
      </w:tr>
      <w:tr w:rsidR="002B7203" w:rsidRPr="00650361" w14:paraId="01F79CF5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14AEF0E9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6936" w:type="dxa"/>
            <w:gridSpan w:val="2"/>
          </w:tcPr>
          <w:p w14:paraId="165CD22C" w14:textId="77777777" w:rsidR="002B7203" w:rsidRPr="00650361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5" w:history="1">
              <w:r w:rsidRPr="004F61E3">
                <w:rPr>
                  <w:rStyle w:val="Hipercze"/>
                  <w:rFonts w:ascii="Times New Roman" w:hAnsi="Times New Roman" w:cs="Times New Roman"/>
                </w:rPr>
                <w:t>biuro@spartandomy.pl</w:t>
              </w:r>
            </w:hyperlink>
          </w:p>
        </w:tc>
      </w:tr>
      <w:tr w:rsidR="002B7203" w:rsidRPr="00650361" w14:paraId="4ED8C22F" w14:textId="77777777" w:rsidTr="00BA60D1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134D149C" w14:textId="77777777" w:rsidR="002B7203" w:rsidRPr="00650361" w:rsidRDefault="002B7203" w:rsidP="00BA60D1">
            <w:pPr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 strony internetowej dewelopera</w:t>
            </w:r>
          </w:p>
        </w:tc>
        <w:tc>
          <w:tcPr>
            <w:tcW w:w="6936" w:type="dxa"/>
            <w:gridSpan w:val="2"/>
          </w:tcPr>
          <w:p w14:paraId="0F1C6198" w14:textId="77777777" w:rsidR="002B7203" w:rsidRPr="00650361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6" w:history="1">
              <w:r w:rsidRPr="008A175D">
                <w:rPr>
                  <w:rStyle w:val="Hipercze"/>
                  <w:rFonts w:ascii="Times New Roman" w:hAnsi="Times New Roman" w:cs="Times New Roman"/>
                </w:rPr>
                <w:t>www.spartandomy.pl</w:t>
              </w:r>
            </w:hyperlink>
          </w:p>
        </w:tc>
      </w:tr>
    </w:tbl>
    <w:p w14:paraId="6C9E673A" w14:textId="77777777" w:rsidR="002B7203" w:rsidRPr="00650361" w:rsidRDefault="002B7203" w:rsidP="002B7203">
      <w:pPr>
        <w:rPr>
          <w:rFonts w:ascii="Times New Roman" w:hAnsi="Times New Roman" w:cs="Times New Roman"/>
        </w:rPr>
      </w:pPr>
    </w:p>
    <w:p w14:paraId="13EB1A54" w14:textId="77777777" w:rsidR="002B7203" w:rsidRPr="00FA73B4" w:rsidRDefault="002B7203" w:rsidP="002B7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A73B4">
        <w:rPr>
          <w:rFonts w:ascii="Times New Roman" w:hAnsi="Times New Roman" w:cs="Times New Roman"/>
          <w:b/>
          <w:bCs/>
        </w:rPr>
        <w:t>DOŚWIADCZENIE DEWELOPERA</w:t>
      </w:r>
    </w:p>
    <w:p w14:paraId="3D5DBE8A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505" w:type="dxa"/>
        <w:tblLook w:val="0000" w:firstRow="0" w:lastRow="0" w:firstColumn="0" w:lastColumn="0" w:noHBand="0" w:noVBand="0"/>
      </w:tblPr>
      <w:tblGrid>
        <w:gridCol w:w="9505"/>
      </w:tblGrid>
      <w:tr w:rsidR="002B7203" w:rsidRPr="00650361" w14:paraId="1613BD97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5" w:type="dxa"/>
          </w:tcPr>
          <w:p w14:paraId="50638C8C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HISTORIA I UDOKUMETOWANE DOŚWIADCZENIE DEWELOPERA</w:t>
            </w:r>
          </w:p>
        </w:tc>
      </w:tr>
      <w:tr w:rsidR="002B7203" w:rsidRPr="00650361" w14:paraId="209A959D" w14:textId="77777777" w:rsidTr="00BA60D1">
        <w:trPr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5" w:type="dxa"/>
          </w:tcPr>
          <w:p w14:paraId="0E5CFE75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B2D85">
              <w:rPr>
                <w:rFonts w:ascii="Times New Roman" w:hAnsi="Times New Roman" w:cs="Times New Roman"/>
              </w:rPr>
              <w:t>Nadzwyczajne Zgromadzenie Spartan Development Spółki z ograniczoną odpowiedzialnością stosownie do przepisu art. 538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8B2D85">
              <w:rPr>
                <w:rFonts w:ascii="Times New Roman" w:hAnsi="Times New Roman" w:cs="Times New Roman"/>
              </w:rPr>
              <w:t xml:space="preserve"> Kodeksu Spółek Handlowych  wraziło zgodę na przeprowadzenie podziału Spółki  Spartan Development przez wydzielenie w trybie określonym w art. 529 § 1 pkt. 4 KSH w drodze przeniesienia części majątku Spółki na nowo zawiązane spółki: Spartan Jaworowe Wzgórze Spółka z ograniczoną odpowiedzialnością z siedzibą w Suchym Dworze, oraz Spartan Domy Spółka z ograniczoną odpowiedzialnością z siedzibą w Suchym Dworze, gdzie podział został dokonany na zasadach określonych w planie podziału sporządzonym przez Zarząd Spółki w dniu 21 grudnia 2012 roku w trybie uproszczonym.</w:t>
            </w:r>
          </w:p>
        </w:tc>
      </w:tr>
    </w:tbl>
    <w:p w14:paraId="656A69F8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00" w:type="dxa"/>
        <w:tblLook w:val="0000" w:firstRow="0" w:lastRow="0" w:firstColumn="0" w:lastColumn="0" w:noHBand="0" w:noVBand="0"/>
      </w:tblPr>
      <w:tblGrid>
        <w:gridCol w:w="2730"/>
        <w:gridCol w:w="6870"/>
      </w:tblGrid>
      <w:tr w:rsidR="002B7203" w:rsidRPr="00650361" w14:paraId="74B8F2A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0" w:type="dxa"/>
            <w:gridSpan w:val="2"/>
          </w:tcPr>
          <w:p w14:paraId="3E70494D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UKOŃCZONEGO PRZEDSIĘWZIĘCIA DEWELOPERA</w:t>
            </w:r>
          </w:p>
        </w:tc>
      </w:tr>
      <w:tr w:rsidR="002B7203" w:rsidRPr="00650361" w14:paraId="672C322B" w14:textId="77777777" w:rsidTr="00BA60D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7640D44A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lastRenderedPageBreak/>
              <w:t>Adres</w:t>
            </w:r>
          </w:p>
        </w:tc>
        <w:tc>
          <w:tcPr>
            <w:tcW w:w="6870" w:type="dxa"/>
          </w:tcPr>
          <w:p w14:paraId="301D17F0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Jaworowe Wzgórze, I etap – ul. Słowikowa</w:t>
            </w:r>
          </w:p>
        </w:tc>
      </w:tr>
      <w:tr w:rsidR="002B7203" w:rsidRPr="00650361" w14:paraId="08A6405E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258D8F9D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870" w:type="dxa"/>
          </w:tcPr>
          <w:p w14:paraId="42CB3468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05/05/2008</w:t>
            </w:r>
          </w:p>
        </w:tc>
      </w:tr>
      <w:tr w:rsidR="002B7203" w:rsidRPr="00650361" w14:paraId="03319199" w14:textId="77777777" w:rsidTr="00BA60D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6D000DAB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wydania decyzji o pozwoleniu na użytkowanie</w:t>
            </w:r>
          </w:p>
        </w:tc>
        <w:tc>
          <w:tcPr>
            <w:tcW w:w="6870" w:type="dxa"/>
          </w:tcPr>
          <w:p w14:paraId="361949D0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05/06/2012</w:t>
            </w:r>
          </w:p>
        </w:tc>
      </w:tr>
    </w:tbl>
    <w:p w14:paraId="1FAB56AD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p w14:paraId="0B28F841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61" w:type="dxa"/>
        <w:tblLook w:val="0000" w:firstRow="0" w:lastRow="0" w:firstColumn="0" w:lastColumn="0" w:noHBand="0" w:noVBand="0"/>
      </w:tblPr>
      <w:tblGrid>
        <w:gridCol w:w="2730"/>
        <w:gridCol w:w="6931"/>
      </w:tblGrid>
      <w:tr w:rsidR="002B7203" w:rsidRPr="00650361" w14:paraId="5298F982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1" w:type="dxa"/>
            <w:gridSpan w:val="2"/>
          </w:tcPr>
          <w:p w14:paraId="3DC89215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INNEGO UKOŃCZONEGO PRZEDSIĘWZIĘCIA DEWELOPERA</w:t>
            </w:r>
          </w:p>
        </w:tc>
      </w:tr>
      <w:tr w:rsidR="002B7203" w:rsidRPr="00650361" w14:paraId="31F96FC1" w14:textId="77777777" w:rsidTr="00BA60D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51A8CDD0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1" w:type="dxa"/>
          </w:tcPr>
          <w:p w14:paraId="53EC7961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Jaworowe Wzgórze, II etap – ul. Sowia</w:t>
            </w:r>
          </w:p>
        </w:tc>
      </w:tr>
      <w:tr w:rsidR="002B7203" w:rsidRPr="00650361" w14:paraId="378A9411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49412012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931" w:type="dxa"/>
          </w:tcPr>
          <w:p w14:paraId="62782E06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07/03/2011</w:t>
            </w:r>
          </w:p>
        </w:tc>
      </w:tr>
      <w:tr w:rsidR="002B7203" w:rsidRPr="00650361" w14:paraId="44BE1302" w14:textId="77777777" w:rsidTr="00BA60D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5A5F1BA1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wydania decyzji o pozwoleniu na użytkowanie</w:t>
            </w:r>
          </w:p>
        </w:tc>
        <w:tc>
          <w:tcPr>
            <w:tcW w:w="6931" w:type="dxa"/>
          </w:tcPr>
          <w:p w14:paraId="0DB3C5F5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31/07/2013</w:t>
            </w:r>
          </w:p>
        </w:tc>
      </w:tr>
      <w:tr w:rsidR="002B7203" w:rsidRPr="00650361" w14:paraId="5BCBB11D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1" w:type="dxa"/>
            <w:gridSpan w:val="2"/>
          </w:tcPr>
          <w:p w14:paraId="4AEC06BF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PRZYKŁAD OSTATNIEGO UKOŃCZONEGO PRZEDSIĘWZIĘCIA DEWELOPERA</w:t>
            </w:r>
          </w:p>
        </w:tc>
      </w:tr>
      <w:tr w:rsidR="002B7203" w:rsidRPr="00650361" w14:paraId="7BF42A7F" w14:textId="77777777" w:rsidTr="00BA60D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30569CAC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31" w:type="dxa"/>
          </w:tcPr>
          <w:p w14:paraId="05C544FC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Jaworowe Wzgórze, III etap – ul. </w:t>
            </w:r>
            <w:proofErr w:type="spellStart"/>
            <w:r>
              <w:rPr>
                <w:rFonts w:ascii="Times New Roman" w:hAnsi="Times New Roman" w:cs="Times New Roman"/>
              </w:rPr>
              <w:t>Pliszkowa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Żurawia</w:t>
            </w:r>
          </w:p>
        </w:tc>
      </w:tr>
      <w:tr w:rsidR="002B7203" w:rsidRPr="00650361" w14:paraId="2A6D712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610F37C1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Rozpoczęcia</w:t>
            </w:r>
          </w:p>
        </w:tc>
        <w:tc>
          <w:tcPr>
            <w:tcW w:w="6931" w:type="dxa"/>
          </w:tcPr>
          <w:p w14:paraId="1FDADD6D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5/07/2013 r.</w:t>
            </w:r>
          </w:p>
        </w:tc>
      </w:tr>
      <w:tr w:rsidR="002B7203" w:rsidRPr="00650361" w14:paraId="74CDB21E" w14:textId="77777777" w:rsidTr="00BA60D1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0" w:type="dxa"/>
          </w:tcPr>
          <w:p w14:paraId="439B5EE7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Data wydania decyzji o pozwoleniu na użytkowanie</w:t>
            </w:r>
          </w:p>
        </w:tc>
        <w:tc>
          <w:tcPr>
            <w:tcW w:w="6931" w:type="dxa"/>
          </w:tcPr>
          <w:p w14:paraId="3A94AD6B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17/11/2020 r. </w:t>
            </w:r>
          </w:p>
        </w:tc>
      </w:tr>
    </w:tbl>
    <w:p w14:paraId="12371759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tbl>
      <w:tblPr>
        <w:tblStyle w:val="Tabelasiatki2akcent2"/>
        <w:tblW w:w="9660" w:type="dxa"/>
        <w:tblLook w:val="0000" w:firstRow="0" w:lastRow="0" w:firstColumn="0" w:lastColumn="0" w:noHBand="0" w:noVBand="0"/>
      </w:tblPr>
      <w:tblGrid>
        <w:gridCol w:w="2775"/>
        <w:gridCol w:w="6885"/>
      </w:tblGrid>
      <w:tr w:rsidR="002B7203" w:rsidRPr="00650361" w14:paraId="30B1ECD6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5" w:type="dxa"/>
          </w:tcPr>
          <w:p w14:paraId="66875AEA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Czy przeciwko deweloperowi prowadzono lub prowadzi się postępowanie egzekucyjne na kwotę powyżej 100 000 zł</w:t>
            </w:r>
          </w:p>
        </w:tc>
        <w:tc>
          <w:tcPr>
            <w:tcW w:w="6885" w:type="dxa"/>
          </w:tcPr>
          <w:p w14:paraId="71B7BBF0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34D790F4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</w:rPr>
      </w:pPr>
    </w:p>
    <w:p w14:paraId="4CE0B7DB" w14:textId="77777777" w:rsidR="002B7203" w:rsidRPr="00650361" w:rsidRDefault="002B7203" w:rsidP="002B72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0361">
        <w:rPr>
          <w:rFonts w:ascii="Times New Roman" w:hAnsi="Times New Roman" w:cs="Times New Roman"/>
          <w:b/>
          <w:bCs/>
        </w:rPr>
        <w:t>INFORMACJE DOTYCZĄCE NIERUCHOMOŚCI I PRZEDSIĘWZIĘCIA DEWELOPERSKIEGO</w:t>
      </w:r>
    </w:p>
    <w:p w14:paraId="63FA36E1" w14:textId="77777777" w:rsidR="002B7203" w:rsidRPr="00650361" w:rsidRDefault="002B7203" w:rsidP="002B7203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siatki2akcent2"/>
        <w:tblW w:w="9765" w:type="dxa"/>
        <w:tblLook w:val="0000" w:firstRow="0" w:lastRow="0" w:firstColumn="0" w:lastColumn="0" w:noHBand="0" w:noVBand="0"/>
      </w:tblPr>
      <w:tblGrid>
        <w:gridCol w:w="2833"/>
        <w:gridCol w:w="3194"/>
        <w:gridCol w:w="89"/>
        <w:gridCol w:w="89"/>
        <w:gridCol w:w="3560"/>
      </w:tblGrid>
      <w:tr w:rsidR="002B7203" w:rsidRPr="00650361" w14:paraId="6C3300E7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11184C47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50361">
              <w:rPr>
                <w:rFonts w:ascii="Times New Roman" w:hAnsi="Times New Roman" w:cs="Times New Roman"/>
                <w:b/>
                <w:bCs/>
              </w:rPr>
              <w:t>INFORMACJE DOTYCZĄCE GRUNTU I ZAGOSPODAROWANIA PRZESTRZENNEGO TERENU</w:t>
            </w:r>
          </w:p>
        </w:tc>
      </w:tr>
      <w:tr w:rsidR="002B7203" w:rsidRPr="00650361" w14:paraId="2F49AA0F" w14:textId="77777777" w:rsidTr="00BA60D1">
        <w:trPr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7BB69833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Adres, numer działki ewidencyjnej i numer obrębu ewidencyjnego</w:t>
            </w:r>
          </w:p>
        </w:tc>
        <w:tc>
          <w:tcPr>
            <w:tcW w:w="6960" w:type="dxa"/>
            <w:gridSpan w:val="4"/>
          </w:tcPr>
          <w:p w14:paraId="26F9C727" w14:textId="77777777" w:rsidR="002B7203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1230, jednostka ewidencyjna: 221105_2 – Kosakowo, obręb ewidencyjny: 0007 – Pogórze, gm. Kosakowo, powiat Pucki, województwo pomorskie</w:t>
            </w:r>
          </w:p>
          <w:p w14:paraId="5759E8ED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Projektowany adres nieruchomości: ul. Sowia 34 i Sowia 36, 81-198 Suchy Dwór, poczta Kosakowo</w:t>
            </w:r>
          </w:p>
        </w:tc>
      </w:tr>
      <w:tr w:rsidR="002B7203" w:rsidRPr="00650361" w14:paraId="06763472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380DD2BF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6960" w:type="dxa"/>
            <w:gridSpan w:val="4"/>
          </w:tcPr>
          <w:p w14:paraId="055AC64D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2421">
              <w:rPr>
                <w:rFonts w:ascii="Times New Roman" w:hAnsi="Times New Roman" w:cs="Times New Roman"/>
              </w:rPr>
              <w:t>GD2W/00062223/5</w:t>
            </w:r>
          </w:p>
        </w:tc>
      </w:tr>
      <w:tr w:rsidR="002B7203" w:rsidRPr="00650361" w14:paraId="07FC8542" w14:textId="77777777" w:rsidTr="00BA60D1">
        <w:trPr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7FC69CED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Istniejące obciążenia hipoteczne nieruchomości lub wnioski o wpis w dziale czwartym księgi wieczystej</w:t>
            </w:r>
          </w:p>
        </w:tc>
        <w:tc>
          <w:tcPr>
            <w:tcW w:w="6960" w:type="dxa"/>
            <w:gridSpan w:val="4"/>
          </w:tcPr>
          <w:p w14:paraId="017F340D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  <w:tr w:rsidR="002B7203" w:rsidRPr="00650361" w14:paraId="3E29557A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7D90E0BC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lastRenderedPageBreak/>
              <w:t>W przypadku braku księgi wieczystej informacja o powierzchni działki i stanie prawnym</w:t>
            </w:r>
          </w:p>
        </w:tc>
        <w:tc>
          <w:tcPr>
            <w:tcW w:w="6960" w:type="dxa"/>
            <w:gridSpan w:val="4"/>
          </w:tcPr>
          <w:p w14:paraId="3A0A74A3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650361" w14:paraId="174F087B" w14:textId="77777777" w:rsidTr="00BA60D1">
        <w:trPr>
          <w:trHeight w:val="1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</w:tcPr>
          <w:p w14:paraId="52C0EF01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Informacje dotyczące obiektów istniejących położonych w sąsiedztwie inwestycji i wpływających na warunki życia</w:t>
            </w:r>
          </w:p>
        </w:tc>
        <w:tc>
          <w:tcPr>
            <w:tcW w:w="6960" w:type="dxa"/>
            <w:gridSpan w:val="4"/>
          </w:tcPr>
          <w:p w14:paraId="4E9DD05B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Zabudowa mieszkaniowa jednorodzinna w zabudowie wolnostojącej oraz bliźniaczej, w sąsiedztwie znajduje się sieć energetyczna, sieć kanalizacji sanitarnej oraz wodociągowej</w:t>
            </w:r>
          </w:p>
        </w:tc>
      </w:tr>
      <w:tr w:rsidR="002B7203" w:rsidRPr="00650361" w14:paraId="606743C2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4E050CDB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4532">
              <w:rPr>
                <w:rFonts w:ascii="Times New Roman" w:hAnsi="Times New Roman" w:cs="Times New Roman"/>
              </w:rPr>
              <w:t>Akty planowania przestrzennego i inne akty prawne na terenie objętym przedsięwzięciem deweloperskim lub zadaniem inwestycyjnym</w:t>
            </w:r>
          </w:p>
          <w:p w14:paraId="32CB13E9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3C7B021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EBCBDB4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9C66273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ABBE198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Ustalenia obowiązującego miejscowego planu zagospodarowania przestrzennego dla terenu objętego przedsięwzięciem deweloperskim lub zadaniem inwestycyjnym</w:t>
            </w:r>
          </w:p>
          <w:p w14:paraId="24CA5BF6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236BABF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Studium uwarunkowań i kierunków zagospodarowania przestrzennego gminy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 w:val="restart"/>
          </w:tcPr>
          <w:p w14:paraId="08A6E4B7" w14:textId="77777777" w:rsidR="002B7203" w:rsidRDefault="002B7203" w:rsidP="00B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Inwestycja jest realizowania na terenie objętym miejscowym planem zagospodarowania przestrzennego – Uchwała nr XLVIII/328/2021 Rady Gminy Kosakowo z dnia 26 stycznia 2021 r. w sprawie uchwalenia miejscowego planu zagospodarowania przestrzennego obszaru położnego w Suchym Dworze, obręb Pogórze gmina Kosakowo, w rejonie ulic: Jana Chryzostoma Paska i Przepiórczej.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opublikowano</w:t>
            </w:r>
          </w:p>
          <w:p w14:paraId="05A10439" w14:textId="77777777" w:rsidR="002B7203" w:rsidRPr="00A863AA" w:rsidRDefault="002B7203" w:rsidP="00B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E9">
              <w:rPr>
                <w:rFonts w:ascii="Times New Roman" w:hAnsi="Times New Roman" w:cs="Times New Roman"/>
                <w:sz w:val="24"/>
                <w:szCs w:val="24"/>
              </w:rPr>
              <w:t>Dziennik Urzędowy Województwa Pomorskiego rok 2021 poz.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 xml:space="preserve"> Plan zagospodarowania przestrzennego na obszarze oddziaływania przewiduje:</w:t>
            </w:r>
          </w:p>
          <w:p w14:paraId="0D2BAA9C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1-MN, 2-MN, 3-MN, 4-MN, 5-MN – teren zabudowy mieszkaniowej jednorodzinnej,</w:t>
            </w:r>
          </w:p>
          <w:p w14:paraId="5F3CD7D3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7-U – teren zabudowy usługowej,</w:t>
            </w:r>
          </w:p>
          <w:p w14:paraId="3C309295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8-IT – teren infrastruktury technicznej,</w:t>
            </w:r>
          </w:p>
          <w:p w14:paraId="2E743FFD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9-ZP/WR – teren zieleni urządzonej oraz zbiornika retencyjnego,</w:t>
            </w:r>
          </w:p>
          <w:p w14:paraId="3CC788EE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10-ZP/KDD – teren zieleni urządzonej o drogi publicznej klasy dojazdowej,</w:t>
            </w:r>
          </w:p>
          <w:p w14:paraId="4DDCD8E5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11-R, 12-R – tereny rolnicze,</w:t>
            </w:r>
          </w:p>
          <w:p w14:paraId="2C799924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01-KDZ, 02-KDZ – tereny dróg publicznych klasy zbiorczej,</w:t>
            </w:r>
          </w:p>
          <w:p w14:paraId="4FF4CCA6" w14:textId="77777777" w:rsidR="002B7203" w:rsidRPr="00A863AA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03-KDD, 04-KDD – tereny dróg publicznych klasy dojazdowej,</w:t>
            </w:r>
          </w:p>
          <w:p w14:paraId="7D5BDC96" w14:textId="77777777" w:rsidR="002B7203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3AA">
              <w:rPr>
                <w:rFonts w:ascii="Times New Roman" w:hAnsi="Times New Roman" w:cs="Times New Roman"/>
                <w:sz w:val="24"/>
                <w:szCs w:val="24"/>
              </w:rPr>
              <w:t>05-KDW, 06-KDW, 07-KDW, 08-KDW – tereny dróg wewnętrznych.</w:t>
            </w:r>
          </w:p>
          <w:p w14:paraId="482A4FFE" w14:textId="77777777" w:rsidR="002B7203" w:rsidRPr="00CE5810" w:rsidRDefault="002B7203" w:rsidP="00B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dokumentami można zapoznać się w siedzibie firmy. )</w:t>
            </w:r>
          </w:p>
          <w:p w14:paraId="1A4B9386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305240D4" w14:textId="77777777" w:rsidTr="00BA60D1">
        <w:trPr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49F5FA3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2124DB37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zagospodarowania przestrzennego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1DFA8F25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076C06FD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E8DDC4E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3498DA2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rewitalizacji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37CB258B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6048413C" w14:textId="77777777" w:rsidTr="00BA60D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654D8F2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013AF3B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Miejscowy plan odbudowy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5E3632D0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383DAC9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EFB754F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FD041BA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137630E0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6987BB1E" w14:textId="77777777" w:rsidTr="00BA60D1">
        <w:trPr>
          <w:trHeight w:val="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113AF18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B30FE10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Przeznaczenie terenu</w:t>
            </w:r>
          </w:p>
          <w:p w14:paraId="018F9D8F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  <w:vMerge/>
          </w:tcPr>
          <w:p w14:paraId="7D9C2015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650361" w14:paraId="5CBEB667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7224C16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9CDA7D5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Maksymalna i minimalna intensywność zabudowy</w:t>
            </w:r>
          </w:p>
          <w:p w14:paraId="01AC66EE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DF5760D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Maksymalny wskaźnik intensywności zabudowy: 0,9 w tym dla kondygnacji nadziemnych: 0,6 i minimalny wskaźnik intensywności zabudowy: 0</w:t>
            </w:r>
          </w:p>
        </w:tc>
      </w:tr>
      <w:tr w:rsidR="002B7203" w:rsidRPr="00650361" w14:paraId="346698D0" w14:textId="77777777" w:rsidTr="00BA60D1">
        <w:trPr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B686A8E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FCC9AF6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Maksymalna wysokość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37618CE2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więcej niż 9 m </w:t>
            </w:r>
          </w:p>
        </w:tc>
      </w:tr>
      <w:tr w:rsidR="002B7203" w:rsidRPr="00650361" w14:paraId="55BCE409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F012DD1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B4784FD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1C5C47D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Minimalny udział procentowy  powierzchni biologicznej czynnej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6B0FBC6F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2B7203" w:rsidRPr="00650361" w14:paraId="4341E488" w14:textId="77777777" w:rsidTr="00BA60D1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A8514E5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6E7F770C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Minimalna liczba miejsc do parkowania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2B06E9BE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7203" w:rsidRPr="00650361" w14:paraId="31A10A7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1E90C53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748A9A99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Warunki ochrony środowiska i zdrowia ludzi, przyrody i krajobrazu</w:t>
            </w:r>
          </w:p>
          <w:p w14:paraId="0459E69B" w14:textId="77777777" w:rsidR="002B7203" w:rsidRPr="00650361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07F08814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650361" w14:paraId="5F0706D1" w14:textId="77777777" w:rsidTr="00BA60D1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A1BF8C3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6E230FC7" w14:textId="77777777" w:rsidR="002B7203" w:rsidRPr="00650361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361">
              <w:rPr>
                <w:rFonts w:ascii="Times New Roman" w:hAnsi="Times New Roman" w:cs="Times New Roman"/>
              </w:rPr>
              <w:t>Wymagania dotyczące zabudowy i zagospodarowania terenu położonego na obszarach szczególnego zagrożenia powodzią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5221354F" w14:textId="77777777" w:rsidR="002B7203" w:rsidRPr="00650361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40DCF328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B9D6814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0AE8D2C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ochrony dziedzictwa kulturowego i zabytków oraz dóbr kultury współczesnej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536ABCE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Część obszaru objętego planem znajduje się w obrębie stref ochrony konserwatorskiej stanowisk archeologicznych ujętych w ewidencji zabytków, oznaczonych na rysunku planu. W obrębie tych stref, roboty ziemne naruszające strukturę gruntu wymagają przeprowadzenia badań archeologicznych na zasadach określonych w przepisach odrębnych dotyczących ochrony zabytków i opieki nad zabytkami.</w:t>
            </w:r>
          </w:p>
        </w:tc>
      </w:tr>
      <w:tr w:rsidR="002B7203" w:rsidRPr="00CD5C3B" w14:paraId="4340EAAB" w14:textId="77777777" w:rsidTr="00BA60D1"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7692330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1777EA97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ochrony innych terenów lub obiektów podlegających ochronie na podstawie przepisów odrębnych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6E6F69F6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943C742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C7775F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7DF56862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komunikacji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4AB267C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Obsługę komunikacyjną ustala się z istniejących dróg publicznych oraz istniejących i projektowanych dróg wewnętrznych zlokalizowanych w granicach planu, zgodnie z rysunkiem planu. 2. Zakaz lokalizacji zjazdów na działki budowlane z dróg publicznych klasy zbiorczej, oznaczonych symbolami 01-KDZ i 02-KDZ. Zakaz nie dotyczy terenu 9-ZP/WR, dla którego dopuszcza się obsługę komunikacyjną z drogi 02-KDZ. 3. Powiązanie komunikacyjne obszaru planu z istniejącym, zewnętrznym układem komunikacyjnym, zapewniają istniejące w granicach planu drogi publiczne – ulice Jana Chryzostoma Paska, Przepiórcza i Sowia. 4. Dopuszcza się wydzielenie dojazdów do działek budowalnych o minimalnej szerokości 6m zakończonych, w przypadku drogi nieprzelotowej, placem do zawracania o wymiarach 12,5m x 12,5m. 5. W granicach planu dopuszcza się lokalizację ciągów pieszych i pieszo-rowerowych, a także ścieżek rowerowych. 6. W zakresie zapewnienia miejsc parkingowych ustala się: 1) minimalną liczbę miejsc postojowych w ilości: a) dla budynków mieszkalnych jednorodzinnych: 2 miejsca postojowe/1 mieszkanie, b) dla lokali usługowych: nie mniej niż 1 miejsce postojowe na każde rozpoczęte 40m2 powierzchni użytkowej lokalu usługowego i nie mniej niż 1 miejsce postojowe/3 zatrudnionych; 2) dla każdego obiektu wymagana jest sumaryczna liczba stanowisk wynikająca z pkt 1; 3) miejsca postojowe należy przewidzieć w granicach działki budowlanej, o ile z ustaleń szczegółowych nie wynika inaczej. Zakaz lokalizacji miejsc </w:t>
            </w:r>
            <w:r w:rsidRPr="00CD5C3B">
              <w:rPr>
                <w:rFonts w:ascii="Times New Roman" w:hAnsi="Times New Roman" w:cs="Times New Roman"/>
              </w:rPr>
              <w:lastRenderedPageBreak/>
              <w:t>postojowych na terenach oznaczonych symbolem R; 4) zapewnienie minimalnej liczby miejsc postojowych dla pojazdów zaopatrzonych w kartę parkingową w odniesieniu do ogólnej liczby miejsc postojowych ustalonych zgodnie z pkt 1: a) 1 miejsce jeżeli ogólna liczba miejsc postojowych wynosi 5 – 20, b) 2 miejsca jeżeli ogólna liczba miejsc postojowych wynosi 21 – 100, c) 4% ogólnej liczby miejsc postojowych, jeżeli ta liczba przekracza 100; 5) wymagany wskaźnik miejsc postojowych obowiązuje także dla przebudowy, rozbudowy, nadbudowy, a także zmiany sposobu użytkowania istniejących obiektów w obszarze planu, która ze względu na swój charakter lub rozmiar może powodować zwiększenie potrzeb parkingowych</w:t>
            </w:r>
          </w:p>
        </w:tc>
      </w:tr>
      <w:tr w:rsidR="002B7203" w:rsidRPr="00CD5C3B" w14:paraId="51BBEFFA" w14:textId="77777777" w:rsidTr="00BA60D1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8400EE2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4C87E11F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infrastruktury technicznej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13D4473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 zakresie zaopatrzenia w wodę ustala się: 1) zaopatrzenie całego obszaru planu z istniejącej i projektowanej sieci wodociągowej; 2) wodę dla celów ppoż. w ilości zgodnej z obowiązującymi przepisami prawa, należy zapewnić z istniejącej i projektowanej sieci wodociągowej, uzbrojonej w hydranty lub z innych źródeł zgodnie z przepisami odrębnymi dotyczącymi przeciwpożarowego zaopatrzania w wodę oraz dróg pożarowych. 2. W zakresie zaopatrzenia w energię elektryczną ustala się: 1) zasilanie energetyczne terenów objętych planem z linii elektroenergetycznych; 2) dopuszcza się budowę, przebudowę i rozbudowę sieci elektroenergetycznych niskich i średnich napięć wyłącznie jako sieci kablowych. 3. W zakresie zaopatrzenia w energię cieplną ustala się: zasilanie w ciepło z sieci ciepłowniczej lub z systemów grzewczych na paliwa charakteryzujące się niskimi wskaźnikami emisji z wykorzystaniem urządzeń o wysokim stopniu </w:t>
            </w:r>
            <w:r w:rsidRPr="00CD5C3B">
              <w:rPr>
                <w:rFonts w:ascii="Times New Roman" w:hAnsi="Times New Roman" w:cs="Times New Roman"/>
              </w:rPr>
              <w:lastRenderedPageBreak/>
              <w:t xml:space="preserve">sprawności. 4. W zakresie zaopatrzenia w gaz: 1) dopuszcza się zaopatrzenie w gaz dla celów bytowych lub grzewczych z indywidualnych źródeł; 2) dopuszcza się realizację sieci gazowej wraz z niezbędnymi elementami tej sieci w celu gazyfikacji obszaru. 5. W zakresie odprowadzenia ścieków sanitarnych ustala się nakaz odprowadzenia ścieków do sieci kanalizacji sanitarnej. Obowiązuje odprowadzenie ścieków przemysłowych zgodnie z przepisami odrębnymi z zakresu ochrony środowiska i prawa wodnego. 6. W zakresie odprowadzenia wód opadowych i roztopowych ustala się: 1) odprowadzenie wód opadowych i roztopowych do systemu kanalizacji deszczowej. Dopuszcza się odprowadzenie wód opadowych i roztopowych do szczelnych zbiorników, zbiorników retencyjnych oraz studni chłonnych; 2) wody opadowe i roztopowe z dachów obiektów budowlanych należy zagospodarować w granicach działki; 3) dopuszcza się gromadzenie wód opadowych w celu późniejszego wykorzystania do nawodnienia trawników, zieleńców, do prac porządkowych lub celów ppoż.; 4) należy zabezpieczyć odpływ wód opadowych w sposób chroniący teren przed erozją wodną oraz przed zaleganiem wód opadowych; 5) należy stosować rozwiązania techniczne, technologiczne i organizacyjne gwarantujące zabezpieczenie przed zanieczyszczeniem warstwy wodonośnej. 7. W zakresie infrastruktury telekomunikacyjnej ustala się: 1) uzbrojenie w zakresie usług telekomunikacyjnych w oparciu o istniejącą i projektowaną sieć telekomunikacyjną; 2) linie telekomunikacyjne projektować jako podziemne. 8. W zakresie gospodarowania odpadami stałymi: </w:t>
            </w:r>
            <w:r w:rsidRPr="00CD5C3B">
              <w:rPr>
                <w:rFonts w:ascii="Times New Roman" w:hAnsi="Times New Roman" w:cs="Times New Roman"/>
              </w:rPr>
              <w:lastRenderedPageBreak/>
              <w:t>zgodnie z przepisami odrębnymi z zakresu prawa o odpadach.</w:t>
            </w:r>
          </w:p>
        </w:tc>
      </w:tr>
      <w:tr w:rsidR="002B7203" w:rsidRPr="00CD5C3B" w14:paraId="666F2DB1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31F2271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Ustalenia obowiązującego miejscowego planu zagospodarowania przestrzennego dla działki lub ich fragmentów, znajdujących się w odległości 100 m od granicy terenu objętego przedsięwzięciem deweloperskim lub zadaniem inwestycyjnym</w:t>
            </w:r>
          </w:p>
        </w:tc>
        <w:tc>
          <w:tcPr>
            <w:tcW w:w="3300" w:type="dxa"/>
            <w:gridSpan w:val="2"/>
          </w:tcPr>
          <w:p w14:paraId="31D3161E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Przeznaczenie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0A04588A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MN, 21 MN</w:t>
            </w:r>
          </w:p>
          <w:p w14:paraId="63C55F3A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Przeznaczenie terenu</w:t>
            </w:r>
          </w:p>
          <w:p w14:paraId="25E31DA5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teren zabudowy mieszkaniowej jednorodzinnej,</w:t>
            </w:r>
            <w:r>
              <w:rPr>
                <w:rFonts w:ascii="Times New Roman" w:hAnsi="Times New Roman"/>
              </w:rPr>
              <w:br/>
              <w:t>— w parterach budynków dopuszcza się usługi nieuciążliwe nie kolidujące z funkcją mieszkaniową i nie wymagające obsługi transportem ciężkim.</w:t>
            </w:r>
          </w:p>
          <w:p w14:paraId="14F51A29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19F95ADB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E1F53BC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62DC146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3007D41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Przeznaczenie terenu:</w:t>
            </w:r>
            <w:r>
              <w:rPr>
                <w:rFonts w:ascii="Times New Roman" w:hAnsi="Times New Roman"/>
              </w:rPr>
              <w:br/>
              <w:t>— teren przeznaczony jest dla funkcji mieszkalnictwa jednorodzinnego oraz otwartych terenów zieleni i rekreacji, a także towarzyszących im funkcji komunikacji i infrastruktury technicznej,</w:t>
            </w:r>
          </w:p>
          <w:p w14:paraId="375F547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5F37125F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5EC89D8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514F334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4FBA2A75" w14:textId="77777777" w:rsidTr="00BA60D1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238C5A7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67037627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Maksymalna i minimalna intensywność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0AD891E2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</w:t>
            </w:r>
          </w:p>
          <w:p w14:paraId="31614B2B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7C8D6FB5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linia zabudowy – nieprzekraczalna: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ab/>
              <w:t>— 6,0 m od linii rozgraniczającej z drogi 3KDD,</w:t>
            </w:r>
            <w:r>
              <w:rPr>
                <w:rFonts w:ascii="Times New Roman" w:hAnsi="Times New Roman"/>
              </w:rPr>
              <w:br/>
              <w:t>4KDD i 5KDD,</w:t>
            </w:r>
            <w:r>
              <w:rPr>
                <w:rFonts w:ascii="Times New Roman" w:hAnsi="Times New Roman"/>
              </w:rPr>
              <w:br/>
              <w:t>— wielkość powierzchni zabudowy – nie więcej 30% terenu,</w:t>
            </w:r>
          </w:p>
          <w:p w14:paraId="590370B5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7407B6A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(UCHWAŁA Nr XLVIII/56/06 Rady Gminy w Kosakowie z dnia 19 października 2006 r. w sprawie </w:t>
            </w:r>
            <w:r>
              <w:rPr>
                <w:rFonts w:ascii="Times New Roman" w:hAnsi="Times New Roman"/>
              </w:rPr>
              <w:lastRenderedPageBreak/>
              <w:t>uchwalenia miejscowego planu zagospodarowania przestrzennego działek nr 171/1, 171/2, 171/3, 171/4, 171/7, 171/9, 171/10, 176/4 oraz części działki nr 171/18 w Pogórzu gm. Kosakowo)</w:t>
            </w:r>
          </w:p>
          <w:p w14:paraId="66F62763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C51E632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3CF8CEDA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MN</w:t>
            </w:r>
          </w:p>
          <w:p w14:paraId="30244E0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7BD1107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linia zabudowy – nieprzekraczalna:</w:t>
            </w:r>
            <w:r>
              <w:rPr>
                <w:rFonts w:ascii="Times New Roman" w:hAnsi="Times New Roman"/>
              </w:rPr>
              <w:br/>
              <w:t xml:space="preserve"> — 6,0 m od linii rozgraniczającej z drogi 4KDD,</w:t>
            </w:r>
            <w:r>
              <w:rPr>
                <w:rFonts w:ascii="Times New Roman" w:hAnsi="Times New Roman"/>
              </w:rPr>
              <w:br/>
              <w:t>— wielkość powierzchni zabudowy – nie więcej niż 30% terenu.</w:t>
            </w:r>
          </w:p>
          <w:p w14:paraId="1E70B2F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648E879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AF3BDB6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3C1C883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3C35F174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i minimalna intensywność zabudowy:</w:t>
            </w:r>
          </w:p>
          <w:p w14:paraId="7C7CBAE4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maksymalna powierzchnia zabudowy działki mieszkaniowej: 40% powierzchni działki</w:t>
            </w:r>
          </w:p>
          <w:p w14:paraId="581AAF2B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Kosakowo)</w:t>
            </w:r>
          </w:p>
          <w:p w14:paraId="12BEE5A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07D1A2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1A600B07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7193D75E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00708E26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3FBA757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584F9077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Maksymalna wysokość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7F661997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0AF0B96F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5006894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wysokość zabudowy</w:t>
            </w:r>
          </w:p>
          <w:p w14:paraId="25CE2EBC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wysokość projektowanej zabudowy – 1,5 kondygnacji nadziemnych, nie więcej niż 9,0 m od poziomu terenu – w rejonie głównego wejścia do budynku – do kalenicy, </w:t>
            </w:r>
            <w:r>
              <w:rPr>
                <w:rFonts w:ascii="Times New Roman" w:hAnsi="Times New Roman"/>
              </w:rPr>
              <w:br/>
              <w:t>— geometria dachu – dachy dwu lub wielospadowego o nachyleniu 35–45O.</w:t>
            </w:r>
          </w:p>
          <w:p w14:paraId="71E39B04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43BED58C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B1347AF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7DB1C6A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281F232E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wysokość zabudowy</w:t>
            </w:r>
          </w:p>
          <w:p w14:paraId="4D9550D6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maksymalna wysokość zabudowy dla budynków mieszkalnych krytych dachem dwu– lub wielospadowym: 11 m, krytych dachem płaskim: 10 m,</w:t>
            </w:r>
            <w:r>
              <w:rPr>
                <w:rFonts w:ascii="Times New Roman" w:hAnsi="Times New Roman"/>
              </w:rPr>
              <w:br/>
              <w:t>- maksymalna wysokość zabudowy może być przekroczona o maksymalnie 3 m przez wieżyczki o</w:t>
            </w:r>
            <w:r>
              <w:rPr>
                <w:rFonts w:ascii="Times New Roman" w:hAnsi="Times New Roman"/>
              </w:rPr>
              <w:br/>
              <w:t>powierzchni netto do 10 m2, jak również kominy, maszty, itp.,</w:t>
            </w:r>
            <w:r>
              <w:rPr>
                <w:rFonts w:ascii="Times New Roman" w:hAnsi="Times New Roman"/>
              </w:rPr>
              <w:br/>
              <w:t>- maksymalna wysokość wyniesienia poziomu parteru budynku mieszkalnego przy głównym wejściu: 60 cm</w:t>
            </w:r>
          </w:p>
          <w:p w14:paraId="744AF343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7A634327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D142C13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19EBA6F4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57368682" w14:textId="77777777" w:rsidTr="00BA60D1">
        <w:trPr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90A016C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0FE5803A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Minimalny udział procentowy powierzchni biologicznie czynnej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7274F6FA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0C33C0B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38751BE6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Minimalny udział procentowy powierzchni biologicznej czynnej</w:t>
            </w:r>
          </w:p>
          <w:p w14:paraId="7FBC2436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— procent powierzchni biologicznie czynnej – nie mniej niż 50% terenu; w przypadku nowych </w:t>
            </w:r>
            <w:proofErr w:type="spellStart"/>
            <w:r>
              <w:rPr>
                <w:rFonts w:ascii="Times New Roman" w:hAnsi="Times New Roman"/>
              </w:rPr>
              <w:t>nasadzeń</w:t>
            </w:r>
            <w:proofErr w:type="spellEnd"/>
            <w:r>
              <w:rPr>
                <w:rFonts w:ascii="Times New Roman" w:hAnsi="Times New Roman"/>
              </w:rPr>
              <w:t xml:space="preserve"> dobór zieleni uwzględniający rodzime gatunki występujące naturalnie w regionie.</w:t>
            </w:r>
          </w:p>
          <w:p w14:paraId="6FC62DC4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20D6A5A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659E9FDC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116795B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DE82CD4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5F0CB18E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5048E0C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Minimalny udział procentowy powierzchni biologicznej czynnej</w:t>
            </w:r>
          </w:p>
          <w:p w14:paraId="1ACA26B2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 powierzchni całości terenu MN.A1: 60%.</w:t>
            </w:r>
          </w:p>
          <w:p w14:paraId="583B475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752BC14B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2AA35667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329E0633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1D301F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</w:tcPr>
          <w:p w14:paraId="76FE56C9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Minimalna liczba miejsc do parkowania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16544DD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19MN, 21MN</w:t>
            </w:r>
          </w:p>
          <w:p w14:paraId="3B3BE00B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30EC7CA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liczba miejsc postojowych do parkowania</w:t>
            </w:r>
          </w:p>
          <w:p w14:paraId="69132FE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 należy zapewnić miejsca postojowe w granicach własnej działki.</w:t>
            </w:r>
          </w:p>
          <w:p w14:paraId="2022830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XLVIII/56/06 Rady Gminy w Kosakowie z dnia 19 października 2006 r. w sprawie uchwalenia miejscowego planu zagospodarowania przestrzennego działek nr 171/1, 171/2, 171/3, 171/4, 171/7, 171/9, 171/10, 176/4 oraz części działki nr 171/18 w Pogórzu gm. Kosakowo)</w:t>
            </w:r>
          </w:p>
          <w:p w14:paraId="670850B1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50C9142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0E2D6D97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MN.A1</w:t>
            </w:r>
          </w:p>
          <w:p w14:paraId="7FD200CF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367605ED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liczba miejsc postojowych do parkowania</w:t>
            </w:r>
          </w:p>
          <w:p w14:paraId="68CE3155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układ parkingów i miejsc postojowych, przejść i placów pieszych, ścieżek rowerowych, nastąpi w  projekcie zagospodarowania terenu</w:t>
            </w:r>
          </w:p>
          <w:p w14:paraId="49477AB8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(UCHWAŁA Nr XXXV/70/05 Rady Gminy Kosakowo z dnia 23 sierpnia 2005 r. w sprawie uchwalenia miejscowego planu zagospodarowania przestrzennego dla obszaru działek położonych w rejonie ulicy Szkolnej w Pogórzu gmina Kosakowo.)</w:t>
            </w:r>
          </w:p>
          <w:p w14:paraId="563BD3D0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5039ACC7" w14:textId="77777777" w:rsidR="002B7203" w:rsidRDefault="002B7203" w:rsidP="00BA60D1">
            <w:pPr>
              <w:pStyle w:val="Standard"/>
              <w:rPr>
                <w:rFonts w:ascii="Times New Roman" w:hAnsi="Times New Roman"/>
              </w:rPr>
            </w:pPr>
          </w:p>
          <w:p w14:paraId="4FA61C7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6E669630" w14:textId="77777777" w:rsidTr="00BA60D1">
        <w:trPr>
          <w:trHeight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7360A29F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Ustalenia decyzji o warunkach zabudowy albo decyzji o ustaleniu lokalizacji inwestycji celu publicznego dla terenu objętego przedsięwzięciem deweloperskim lub zadaniem inwestycyjnym w przypadku braku miejscowego planu zagospodarowania przestrzennego</w:t>
            </w:r>
          </w:p>
        </w:tc>
        <w:tc>
          <w:tcPr>
            <w:tcW w:w="3300" w:type="dxa"/>
            <w:gridSpan w:val="2"/>
          </w:tcPr>
          <w:p w14:paraId="5D4BB4A2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Funkcja zabudowy i zagospodarowania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gridSpan w:val="2"/>
          </w:tcPr>
          <w:p w14:paraId="3C5D82E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Sposób użytkowania obiektów budowlanych oraz zagospodarowania terenu </w:t>
            </w:r>
          </w:p>
          <w:p w14:paraId="6A734F1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64AD7B7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7ECAA9C4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09CA95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4"/>
          </w:tcPr>
          <w:p w14:paraId="45198330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Cechy Zabudowy i zagospodarowani terenu : nie dotyczy</w:t>
            </w:r>
          </w:p>
        </w:tc>
      </w:tr>
      <w:tr w:rsidR="002B7203" w:rsidRPr="00CD5C3B" w14:paraId="32CE5058" w14:textId="77777777" w:rsidTr="00BA60D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FDFC28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636BED7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Gabaryty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7D43F300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5D54F6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FED17DC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5B92F3C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Forma architektoniczna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C55E23F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6242B363" w14:textId="77777777" w:rsidTr="00BA60D1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352CA1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A201214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Usytuowanie linii zabudowy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B623972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45C7F4E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3E8C92A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47A0ED4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Intensywność wykorzystania terenu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99781D4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7713C77" w14:textId="77777777" w:rsidTr="00BA60D1">
        <w:trPr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B8C8C49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29EE81CC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ochrony środowiska i zdrowia, ludzi, przyrody i krajobrazu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DF6283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4989BBDB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3E29787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7FE97BC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zabudowy i zagospodarowania terenu położonego na obszarach szczególnego zagrożenia powodzią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D0FFDD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682D2F92" w14:textId="77777777" w:rsidTr="00BA60D1">
        <w:trPr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3F8947A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264F6F2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Warunki ochrony dziedzictwa kulturowego i zabytków oraz dóbr kultury współczesnej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662679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0423F4DA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886EFD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BAB27D3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Wymagania dotyczące ochrony innych terenów lub obiektów podlegających ochronie na podstawie przepisów odrębnych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023B00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12C75DE7" w14:textId="77777777" w:rsidTr="00BA60D1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275048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E3C2EED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Warunki i szczegółowe zasady obsługi w zakresie komunikacji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5E0F94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584A9F8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56A233D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3D6971A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Warunki i szczegółowe zasady obsługi w zakresie infrastruktury technicznej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A6FA64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723FB7A6" w14:textId="77777777" w:rsidTr="00BA60D1">
        <w:trPr>
          <w:trHeight w:val="2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 w:val="restart"/>
          </w:tcPr>
          <w:p w14:paraId="41D5C3B2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Informacje dotyczące przewidzianych inwestycji w promieniu 1 km od terenu objętego przedsięwzięciem deweloperskim lub zadaniem inwestycyjnym, zawarte w : </w:t>
            </w:r>
          </w:p>
        </w:tc>
        <w:tc>
          <w:tcPr>
            <w:tcW w:w="3210" w:type="dxa"/>
          </w:tcPr>
          <w:p w14:paraId="40C16778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Miejscowych planach zagospodarowania przestrzennego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6AB3E55" w14:textId="77777777" w:rsidR="002B7203" w:rsidRPr="00CD5C3B" w:rsidRDefault="002B7203" w:rsidP="00BA60D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Inwestycja jest realizowania na terenie objętym miejscowym planem zagospodarowania przestrzennego – Uchwała nr XLVIII/328/2021 Rady Gminy Kosakowo z dnia 26 stycznia 2021 r. w sprawie uchwalenia miejscowego planu zagospodarowania przestrzennego obszaru położnego w Suchym Dworze, obręb Pogórze gmina Kosakowo, w rejonie ulic: Jana Chryzostoma Paska i Przepiórczej. Plan </w:t>
            </w:r>
            <w:r w:rsidRPr="00CD5C3B">
              <w:rPr>
                <w:rFonts w:ascii="Times New Roman" w:hAnsi="Times New Roman" w:cs="Times New Roman"/>
              </w:rPr>
              <w:lastRenderedPageBreak/>
              <w:t>zagospodarowania przestrzennego na obszarze oddziaływania przewiduje:</w:t>
            </w:r>
          </w:p>
          <w:p w14:paraId="0283379F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1-MN, 2-MN, 3-MN, 4-MN, 5-MN – teren zabudowy mieszkaniowej jednorodzinnej,</w:t>
            </w:r>
          </w:p>
          <w:p w14:paraId="7EF98216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7-U – teren zabudowy usługowej,</w:t>
            </w:r>
          </w:p>
          <w:p w14:paraId="45007018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8-IT – teren infrastruktury technicznej,</w:t>
            </w:r>
          </w:p>
          <w:p w14:paraId="3CD91B11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9-ZP/WR – teren zieleni urządzonej oraz zbiornika retencyjnego,</w:t>
            </w:r>
          </w:p>
          <w:p w14:paraId="6FF0268D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10-ZP/KDD – teren zieleni urządzonej o drogi publicznej klasy dojazdowej,</w:t>
            </w:r>
          </w:p>
          <w:p w14:paraId="6B03E515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11-R, 12-R – tereny rolnicze,</w:t>
            </w:r>
          </w:p>
          <w:p w14:paraId="0F784C32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01-KDZ, 02-KDZ – tereny dróg publicznych klasy zbiorczej,</w:t>
            </w:r>
          </w:p>
          <w:p w14:paraId="150FCD7E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03-KDD, 04-KDD – tereny dróg publicznych klasy dojazdowej,</w:t>
            </w:r>
          </w:p>
          <w:p w14:paraId="1A4B1E83" w14:textId="77777777" w:rsidR="002B7203" w:rsidRPr="00CD5C3B" w:rsidRDefault="002B7203" w:rsidP="002B7203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05-KDW, 06-KDW, 07-KDW, 08-KDW – tereny dróg wewnętrznych.</w:t>
            </w:r>
          </w:p>
          <w:p w14:paraId="4EDE42DC" w14:textId="77777777" w:rsidR="002B7203" w:rsidRPr="00CD5C3B" w:rsidRDefault="002B7203" w:rsidP="00BA60D1">
            <w:pPr>
              <w:jc w:val="both"/>
              <w:rPr>
                <w:rFonts w:ascii="Times New Roman" w:hAnsi="Times New Roman" w:cs="Times New Roman"/>
              </w:rPr>
            </w:pPr>
          </w:p>
          <w:p w14:paraId="3FB7BF66" w14:textId="77777777" w:rsidR="002B7203" w:rsidRPr="00CD5C3B" w:rsidRDefault="002B7203" w:rsidP="00BA60D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Zgodnie z Biuletynem Informacji Publicznej w promieniu 1 km od przedmiotowej inwestycji tereny objęte są również miejscowym planem zagospodarowania przestrzennego, które w obszarze oddziaływania przewidują:</w:t>
            </w:r>
          </w:p>
          <w:p w14:paraId="07367EDB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III/28/2002 Rady Gminy Kosakowo z dnia 30 grudnia 2002 r. w sprawie uchwalenia miejscowego planu zagospodarowania przestrzennego dla działek nr: 179, 182/30 i części działek nr 178/6, 184 położonych w Pogórzu, gmina Kosakowo:</w:t>
            </w:r>
          </w:p>
          <w:p w14:paraId="50AD400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ZP.MNe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teren zieleni parkowej przydomowej z funkcją zabudowy jednorodzinnej wolnostojącej,</w:t>
            </w:r>
          </w:p>
          <w:p w14:paraId="217DDCF4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- tereny zabudowy mieszkaniowej jednorodzinnej wolnostojącej,</w:t>
            </w:r>
          </w:p>
          <w:p w14:paraId="74924E0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>/U tereny zabudowy mieszkaniowej jednorodzinnej wolnostojącej z funkcją usługową,</w:t>
            </w:r>
          </w:p>
          <w:p w14:paraId="2BC7ACF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U/</w:t>
            </w: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 zabudowy usługowej wolnostojącej z funkcją mieszkaniową,</w:t>
            </w:r>
          </w:p>
          <w:p w14:paraId="264384E1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U/</w:t>
            </w:r>
            <w:proofErr w:type="spellStart"/>
            <w:r w:rsidRPr="00CD5C3B">
              <w:rPr>
                <w:rFonts w:ascii="Times New Roman" w:hAnsi="Times New Roman" w:cs="Times New Roman"/>
              </w:rPr>
              <w:t>MNe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 zabudowy usługowej szeregowej z funkcją mieszkaniową,</w:t>
            </w:r>
          </w:p>
          <w:p w14:paraId="074D7CF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WW teren urządzeń zaopatrzenia w wodę z zabudowę towarzyszącą,</w:t>
            </w:r>
          </w:p>
          <w:p w14:paraId="42BFBF4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tereny usług sportowych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511B20A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EEt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tereny stacji transformatorowych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18C0702D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ZP,W tereny zieleni urządzonej ze zbiornikami retencyjnymi,</w:t>
            </w:r>
          </w:p>
          <w:p w14:paraId="299C2918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teren drogi dojazdowej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66E140C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 tereny ciągów pieszych</w:t>
            </w:r>
            <w:r w:rsidRPr="00CD5C3B">
              <w:rPr>
                <w:rFonts w:ascii="Times New Roman" w:hAnsi="Times New Roman" w:cs="Times New Roman"/>
              </w:rPr>
              <w:pgNum/>
            </w:r>
            <w:r w:rsidRPr="00CD5C3B">
              <w:rPr>
                <w:rFonts w:ascii="Times New Roman" w:hAnsi="Times New Roman" w:cs="Times New Roman"/>
              </w:rPr>
              <w:t>,</w:t>
            </w:r>
          </w:p>
          <w:p w14:paraId="6A7F01E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ZTT pas techniczny dla modernizacji istniejącej drogi w zakresie realizacji drugiego pasa ruchu, przebiegu infrastruktury technicznej oraz ciągów pieszo rowerowych,</w:t>
            </w:r>
          </w:p>
          <w:p w14:paraId="257A2064" w14:textId="77777777" w:rsidR="002B7203" w:rsidRPr="00CD5C3B" w:rsidRDefault="002B7203" w:rsidP="00BA60D1">
            <w:pPr>
              <w:jc w:val="both"/>
              <w:rPr>
                <w:rFonts w:ascii="Times New Roman" w:hAnsi="Times New Roman" w:cs="Times New Roman"/>
              </w:rPr>
            </w:pPr>
          </w:p>
          <w:p w14:paraId="59396BC0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VIII/47/2003 Rady Gminy Kosakowo z dnia 26 czerwca 2003 r. w sprawie uchwalenia miejscowego plany zagospodarowania przestrzennego działki nr 178/1 KM15 w Pogórzu gm. Kosakowo:</w:t>
            </w:r>
          </w:p>
          <w:p w14:paraId="0AE7934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MJ – funkcja mieszkaniowa, domy jednorodzinne wolnostojące z dopuszczeniem budynków bliźniaczych,</w:t>
            </w:r>
          </w:p>
          <w:p w14:paraId="710994D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5C3B">
              <w:rPr>
                <w:rFonts w:ascii="Times New Roman" w:hAnsi="Times New Roman" w:cs="Times New Roman"/>
              </w:rPr>
              <w:t>KXj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ciąg pieszo</w:t>
            </w:r>
            <w:r>
              <w:rPr>
                <w:rFonts w:ascii="Times New Roman" w:hAnsi="Times New Roman" w:cs="Times New Roman"/>
              </w:rPr>
              <w:t>-</w:t>
            </w:r>
            <w:r w:rsidRPr="00CD5C3B">
              <w:rPr>
                <w:rFonts w:ascii="Times New Roman" w:hAnsi="Times New Roman" w:cs="Times New Roman"/>
              </w:rPr>
              <w:t>jezdny</w:t>
            </w:r>
          </w:p>
          <w:p w14:paraId="179F9642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UCHWA£A Nr XLVIII/56/06 Rady Gminy w Kosakowie z dnia 19 października 2006 r. w sprawie uchwalenia miejscowego planu zagospodarowania przestrzennego działek nr 171/1, 171/2, 171/3, 171/4, 171/7, 171/9, 171/10, 176/4 oraz części działki nr 171/8 w Pogórzu gm. Kosakowo:</w:t>
            </w:r>
          </w:p>
          <w:p w14:paraId="6054249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 – teren obiektów produkcyjnych, składów i magazynów,</w:t>
            </w:r>
          </w:p>
          <w:p w14:paraId="170C7AB1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– teren sportu i rekreacji,</w:t>
            </w:r>
          </w:p>
          <w:p w14:paraId="54CB96DD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21678FD4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 zieleni urządzonej,</w:t>
            </w:r>
          </w:p>
          <w:p w14:paraId="1D056EF1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ZL – lasy,</w:t>
            </w:r>
          </w:p>
          <w:p w14:paraId="747DCC7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– teren zabudowy mieszkaniowej jednorodzinnej i zabudowy usługowej,</w:t>
            </w:r>
          </w:p>
          <w:p w14:paraId="191AFFC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 zabudowy mieszkaniowej jednorodzinnej,</w:t>
            </w:r>
          </w:p>
          <w:p w14:paraId="3BD32E7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 – teren zieleni,</w:t>
            </w:r>
          </w:p>
          <w:p w14:paraId="2FAA556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TT – teren infrastruktury technicznej,</w:t>
            </w:r>
          </w:p>
          <w:p w14:paraId="349B703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– teren dróg publicznych,</w:t>
            </w:r>
          </w:p>
          <w:p w14:paraId="4A2DBED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KDX – teren komunikacji</w:t>
            </w:r>
          </w:p>
          <w:p w14:paraId="57FFCA93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XXXV/71/05 Rady Gminy Kosakowo z dnia 23 sierpnia 2005 r. w sprawie uchwalenia miejscowego planu zagospodarowania przestrzennego działki nr 178/3 w Pogórzu, gm. Kosakowo:</w:t>
            </w:r>
          </w:p>
          <w:p w14:paraId="0B0B3C4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tereny zabudowy mieszkaniowej jednorodzinnej wolnostojącej lub bliźniaczej,</w:t>
            </w:r>
          </w:p>
          <w:p w14:paraId="49141F3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KXPW – tereny ciągów pieszo-jezdnych wewnętrznych</w:t>
            </w:r>
          </w:p>
          <w:p w14:paraId="23FEA6B9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VIII/24/2011 Rady Gminy Kosakowo z dnia 5 kwietnia 2011 r. w sprawie zmiany miejscowego planu zagospodarowania przestrzennego działek nr 171/1, 171/2, 171/3, 171/4, 171/7, 171/9, 171/10, 176/4 oraz części działki nr 171/8 w Pogórzu gmina Kosakowo:</w:t>
            </w:r>
          </w:p>
          <w:p w14:paraId="7B4ED8F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tereny zabudowy usługowej,</w:t>
            </w:r>
          </w:p>
          <w:p w14:paraId="1AE5E90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tereny zieleni urządzonej,</w:t>
            </w:r>
          </w:p>
          <w:p w14:paraId="01286F4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 – tereny sportu i rekreacji,</w:t>
            </w:r>
          </w:p>
          <w:p w14:paraId="0740EAAE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IV/1/2011 Rady Gminy Kosakowo z dnia 1 lutego 2011 r. w sprawie uchwalenia miejscowego planu zagospodarowania przestrzennego osiedla Suchy Dwór w gminie Kosakowo:</w:t>
            </w:r>
          </w:p>
          <w:p w14:paraId="6077D56D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MN – tereny zabudowy mieszkaniowej jednorodzinnej wolno stojącej, bliźniaczej lub szeregowej </w:t>
            </w:r>
          </w:p>
          <w:p w14:paraId="70438F1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MW - tereny zabudowy mieszkaniowej wielorodzinnej ekstensywnej, </w:t>
            </w:r>
          </w:p>
          <w:p w14:paraId="6AD69C9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MN1/U, MN2/U, MW/U - tereny zabudowy mieszkaniowej jednorodzinnej lub wielorodzinnej z dopuszczeniem usług nie zakłócających funkcji mieszkaniowej</w:t>
            </w:r>
          </w:p>
          <w:p w14:paraId="4641F7F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ZP - tereny zieleni urządzonej </w:t>
            </w:r>
          </w:p>
          <w:p w14:paraId="6BD19D1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TE - tereny urządzeń energetycznych - stacja transformatorowa </w:t>
            </w:r>
          </w:p>
          <w:p w14:paraId="63851CB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TW - tereny ujęć wody </w:t>
            </w:r>
          </w:p>
          <w:p w14:paraId="04ABF898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 xml:space="preserve">TK - tereny urządzeń kanalizacji sanitarnej - przepompownia ścieków </w:t>
            </w:r>
          </w:p>
          <w:p w14:paraId="546C9DB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- tereny komunikacji kołowej,</w:t>
            </w:r>
          </w:p>
          <w:p w14:paraId="65EB155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KD-X - tereny komunikacji - ciągi pieszo-jezdne</w:t>
            </w:r>
          </w:p>
          <w:p w14:paraId="069DF29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KDW-X tereny komunikacji - ciągi pieszo-jezdne wewnętrzne</w:t>
            </w:r>
          </w:p>
          <w:p w14:paraId="746F36E1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KX - tereny komunikacji - wydzielone ciągi piesze </w:t>
            </w:r>
          </w:p>
          <w:p w14:paraId="69995B4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TZ - teren zamknięty</w:t>
            </w:r>
          </w:p>
          <w:p w14:paraId="3B4EE731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XL/264/2020 RADY GMINY KOSAKOWO z dnia 29 września 2020 r. w sprawie uchwalenia miejscowego planu zagospodarowania przestrzennego działek nr 190/380, 190/218, 190/219 w miejscowości Suchy Dwór, obręb Pogórze, gm. Kosakowo:</w:t>
            </w:r>
          </w:p>
          <w:p w14:paraId="5D08121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- teren zabudowy mieszkaniowej jednorodzinnej w zabudowie wolnostojącej i bliźniaczej oraz teren zabudowy usługowej nieuciążliwej,</w:t>
            </w:r>
          </w:p>
          <w:p w14:paraId="19AA437D" w14:textId="77777777" w:rsidR="002B7203" w:rsidRPr="00CD5C3B" w:rsidRDefault="002B7203" w:rsidP="00BA60D1">
            <w:pPr>
              <w:pStyle w:val="Akapitzlist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33EBCB0F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XXXV/70/05 Rady Gminy Kosakowo z dnia 23 sierpnia 2005 r. w sprawie uchwalenia miejscowego planu zagospodarowania przestrzennego dla obszaru działek położonych w rejonie ulicy Szkolnej w Pogórzu gmina Kosakowo:</w:t>
            </w:r>
          </w:p>
          <w:p w14:paraId="77D9BE3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MN.A - teren zabudowy jednorodzinnej mieszkaniowej z terenami zieleni i rekreacji,</w:t>
            </w:r>
          </w:p>
          <w:p w14:paraId="77630D8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MN.B – tereny zabudowy mieszkaniowej jednorodzinnej</w:t>
            </w:r>
          </w:p>
          <w:p w14:paraId="2E0C0F2D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1FAEFE4D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t>UCHWAŁA NR XXXIX/119/05 RADY GMINY KOSAKOWO z dnia 22.12.2005 r. w sprawie uchwalenia miejscowego planu zagospodarowania przestrzennego dla działek nr ew. 1/12, 1/7, 1/14 przy ul. Kołłątaja w Pogórzu, w gminie Kosakowo:</w:t>
            </w:r>
          </w:p>
          <w:p w14:paraId="175E985B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 – zabudowa mieszkaniowa,</w:t>
            </w:r>
          </w:p>
          <w:p w14:paraId="2307A05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– zabudowa mieszkaniowa jednorodzinna/usługowa,</w:t>
            </w:r>
          </w:p>
          <w:p w14:paraId="76A010A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usługowy,</w:t>
            </w:r>
          </w:p>
          <w:p w14:paraId="75AC0D6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KDW, KW – droga wewnętrzna,</w:t>
            </w:r>
          </w:p>
          <w:p w14:paraId="648B9C9B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UCHWAŁA NR XVII/116/2019 RADY GMINY KOSAKOWO z dnia 2 lipca 2019 r. w sprawie: uchwalenia miejscowego planu zagospodarowania przestrzennego części obrębu Pogórze w gminie Kosakowo, rejon ulic: Dorsza, Kościuszki i Staszica:</w:t>
            </w:r>
          </w:p>
          <w:p w14:paraId="5B03E55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tereny zabudowy jednorodzinnej wolno stojącej i bliźniaczej;</w:t>
            </w:r>
          </w:p>
          <w:p w14:paraId="3F81035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MNU - tereny zabudowy mieszkaniowo-usługowej – tereny zabudowy mieszkaniowej jednorodzinnej oraz usługowej, w układzie wolno stojącym,</w:t>
            </w:r>
          </w:p>
          <w:p w14:paraId="5369A27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MW - tereny zabudowy mieszkaniowej wielorodzinnej,</w:t>
            </w:r>
          </w:p>
          <w:p w14:paraId="168B10EB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UP – tereny usług publicznych,</w:t>
            </w:r>
          </w:p>
          <w:p w14:paraId="7014BEB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tereny zieleni publicznej,</w:t>
            </w:r>
          </w:p>
          <w:p w14:paraId="66E661C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- – tereny dróg publicznych klasy zbiorczej,</w:t>
            </w:r>
          </w:p>
          <w:p w14:paraId="2F41F8B8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KDL - – tereny dróg publicznych klasy lokalnej</w:t>
            </w:r>
          </w:p>
          <w:p w14:paraId="10EF742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KDD - tereny dróg publicznych klasy dojazdowej,</w:t>
            </w:r>
          </w:p>
          <w:p w14:paraId="4D46BBD4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XI/56/07 RADY GMINY KOSAKOWO z dnia 19 lipca 2007 roku w sprawie uchwalenia miejscowego planu zagospodarowania przestrzennego części wsi Pogórze gm. Kosakowo:</w:t>
            </w:r>
          </w:p>
          <w:p w14:paraId="2DA08371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tereny zabudowy mieszkaniowej jednorodzinnej − domy wolno stojące</w:t>
            </w:r>
          </w:p>
          <w:p w14:paraId="01DF4E3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 tereny zabudowy mieszkaniowej wielorodzinnej 2 − zabudowa wielorodzinna, domy mieszkalne powyżej 2 mieszkań dostępnych z jednej klatki schodowej </w:t>
            </w:r>
          </w:p>
          <w:p w14:paraId="6EC81E0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 tereny rolnicze </w:t>
            </w:r>
          </w:p>
          <w:p w14:paraId="0E348CB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R/M tereny rolniczo-mieszkaniowe, </w:t>
            </w:r>
          </w:p>
          <w:p w14:paraId="1106623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 tereny zabudowy usługowej komercyjne i publiczne, </w:t>
            </w:r>
          </w:p>
          <w:p w14:paraId="3CF2410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tereny zabudowy usługowo – mieszkaniowej jednorodzinnej zawierające tereny mieszkaniowe:</w:t>
            </w:r>
          </w:p>
          <w:p w14:paraId="34B6799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MW/U tereny zabudowy usługowo – mieszkaniowej wielorodzinnej zawierające tereny mieszkaniowe MW i usługowe: </w:t>
            </w:r>
          </w:p>
          <w:p w14:paraId="5763AF4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ZP tereny zieleni urządzonej tereny miejskiej zieleni urządzonej dostępne dla publiczności,</w:t>
            </w:r>
          </w:p>
          <w:p w14:paraId="2649438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tereny ulic dojazdowych </w:t>
            </w:r>
          </w:p>
          <w:p w14:paraId="63B0D6C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tereny ulic lokalnych</w:t>
            </w:r>
          </w:p>
          <w:p w14:paraId="122D763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KZ tereny ulic zbiorczych </w:t>
            </w:r>
          </w:p>
          <w:p w14:paraId="751D5D4B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KX tereny wydzielonych ciągów: pieszych, pieszo-jezdnych, pieszo</w:t>
            </w:r>
            <w:r>
              <w:rPr>
                <w:rFonts w:ascii="Times New Roman" w:hAnsi="Times New Roman" w:cs="Times New Roman"/>
              </w:rPr>
              <w:t>-</w:t>
            </w:r>
            <w:r w:rsidRPr="00CD5C3B">
              <w:rPr>
                <w:rFonts w:ascii="Times New Roman" w:hAnsi="Times New Roman" w:cs="Times New Roman"/>
              </w:rPr>
              <w:t>rowerowych, rowerowych, ulic o równoprawnym ruchu pieszym, rowerowym i kołowym</w:t>
            </w:r>
          </w:p>
          <w:p w14:paraId="0290F85E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XI/56/07 RADY GMINY KOSAKOWO z dnia 19 lipca 2007 roku w sprawie uchwalenia miejscowego planu zagospodarowania przestrzennego części wsi Pogórze gm. Kosakowo:</w:t>
            </w:r>
          </w:p>
          <w:p w14:paraId="0E94D3D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tereny zabudowy mieszkaniowej jednorodzinnej − domy wolno stojące</w:t>
            </w:r>
          </w:p>
          <w:p w14:paraId="7E8FA09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 tereny zabudowy mieszkaniowej wielorodzinnej 2 − zabudowa wielorodzinna, domy mieszkalne powyżej 2 mieszkań dostępnych z jednej klatki schodowej </w:t>
            </w:r>
          </w:p>
          <w:p w14:paraId="6710CE9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 tereny rolnicze </w:t>
            </w:r>
          </w:p>
          <w:p w14:paraId="0AD376B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R/M tereny rolniczo-mieszkaniowe, </w:t>
            </w:r>
          </w:p>
          <w:p w14:paraId="6D7E12D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 tereny zabudowy usługowej komercyjne i publiczne, </w:t>
            </w:r>
          </w:p>
          <w:p w14:paraId="18A66D9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MN/U tereny zabudowy usługowo – mieszkaniowej jednorodzinnej zawierające tereny mieszkaniowe:</w:t>
            </w:r>
          </w:p>
          <w:p w14:paraId="43C73ACF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MW/U tereny zabudowy usługowo – mieszkaniowej wielorodzinnej zawierające tereny mieszkaniowe MW i usługowe: </w:t>
            </w:r>
          </w:p>
          <w:p w14:paraId="4D27E1D4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tereny zieleni urządzonej tereny miejskiej zieleni urządzonej dostępne dla publiczności,</w:t>
            </w:r>
          </w:p>
          <w:p w14:paraId="0E0F589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tereny ulic dojazdowych </w:t>
            </w:r>
          </w:p>
          <w:p w14:paraId="7DC537EB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tereny ulic lokalnych</w:t>
            </w:r>
          </w:p>
          <w:p w14:paraId="11FF27A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 KZ tereny ulic zbiorczych </w:t>
            </w:r>
          </w:p>
          <w:p w14:paraId="04A0560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KX tereny wydzielonych ciągów: pieszych, pieszo-jezdnych, </w:t>
            </w:r>
            <w:proofErr w:type="spellStart"/>
            <w:r w:rsidRPr="00CD5C3B">
              <w:rPr>
                <w:rFonts w:ascii="Times New Roman" w:hAnsi="Times New Roman" w:cs="Times New Roman"/>
              </w:rPr>
              <w:t>pieszorowerowych</w:t>
            </w:r>
            <w:proofErr w:type="spellEnd"/>
            <w:r w:rsidRPr="00CD5C3B">
              <w:rPr>
                <w:rFonts w:ascii="Times New Roman" w:hAnsi="Times New Roman" w:cs="Times New Roman"/>
              </w:rPr>
              <w:t>, rowerowych, ulic o równoprawnym ruchu pieszym, rowerowym i kołowym</w:t>
            </w:r>
          </w:p>
          <w:p w14:paraId="16114521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UCHWAŁA NR LII/373/2021 RADY GMINY KOSAKOWO z dnia 15 kwietnia 2021 r. w sprawie uchwalenia miejscowego planu zagospodarowania przestrzennego działek położonych w obrębie Pogórze gmina Kosakowo, przy ul. Jana Kasprowicza i Bolesława Prusa:</w:t>
            </w:r>
          </w:p>
          <w:p w14:paraId="2F95BCC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- tereny zabudowy mieszkaniowej jednorodzinnej,</w:t>
            </w:r>
          </w:p>
          <w:p w14:paraId="1E773A0B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- tereny dróg dojazdowych</w:t>
            </w:r>
          </w:p>
          <w:p w14:paraId="5EFA6A1F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XL/263/2020 RADY GMINY KOSAKOWO z dnia 29 września 2020 r. w sprawie uchwalenia miejscowego planu zagospodarowania przestrzennego działki nr 36/62 obręb Pogórze, gmina Kosakowo, przy ul. Tadeusza Różewicza:</w:t>
            </w:r>
          </w:p>
          <w:p w14:paraId="47C614F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U/MN - teren zabudowy usługowej i mieszkaniowej jednorodzinnej</w:t>
            </w:r>
          </w:p>
          <w:p w14:paraId="151ED1D9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t xml:space="preserve">UCHWAŁA NR X/69/97 RADY GMINY KOSAKOWO z dnia 25.09.1997 r. </w:t>
            </w:r>
            <w:r w:rsidRPr="00CD5C3B">
              <w:rPr>
                <w:rFonts w:ascii="Times New Roman" w:hAnsi="Times New Roman" w:cs="Times New Roman"/>
              </w:rPr>
              <w:t>w sprawie uchwalenia miejscowego planu zagospodarowania przestrzennego działek nr 35 i 36 i części działek nr 31 i 37 w Pogórzu – gmina Kosakowo:</w:t>
            </w:r>
          </w:p>
          <w:p w14:paraId="5A65395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  <w:color w:val="050505"/>
              </w:rPr>
              <w:t>UH, KP – lokalizacja usług handlu,</w:t>
            </w:r>
          </w:p>
          <w:p w14:paraId="785496D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usługi nieuciążliwe,</w:t>
            </w:r>
          </w:p>
          <w:p w14:paraId="602B9BB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tereny mieszkaniowe jednorodzinne,</w:t>
            </w:r>
          </w:p>
          <w:p w14:paraId="0401544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NO, </w:t>
            </w:r>
            <w:proofErr w:type="spellStart"/>
            <w:r w:rsidRPr="00CD5C3B">
              <w:rPr>
                <w:rFonts w:ascii="Times New Roman" w:hAnsi="Times New Roman" w:cs="Times New Roman"/>
              </w:rPr>
              <w:t>NOd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– teren urządzeń docelowego systemu odprowadzania ścieków i wód opadowych,</w:t>
            </w:r>
          </w:p>
          <w:p w14:paraId="420B2CB7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WW – teren urządzeń zaopatrzenia w wodę,</w:t>
            </w:r>
          </w:p>
          <w:p w14:paraId="41BF4B2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EE – teren urządzeń elektroenergetycznych,</w:t>
            </w:r>
          </w:p>
          <w:p w14:paraId="62B3463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KDIV -droga wojewódzka,</w:t>
            </w:r>
          </w:p>
          <w:p w14:paraId="1298F85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KL – droga lokalna,</w:t>
            </w:r>
          </w:p>
          <w:p w14:paraId="117C8F2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 – drogi dojazdowe,</w:t>
            </w:r>
          </w:p>
          <w:p w14:paraId="728BB72F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UCHWAŁA NR XXVIII/192/2020 RADY GMINY KOSAKOWO z dnia 26 marca 2020 r. w sprawie uchwalenia miejscowego planu zagospodarowania przestrzennego części obrębu Kosakowo, rejon </w:t>
            </w:r>
            <w:r w:rsidRPr="00CD5C3B">
              <w:rPr>
                <w:rFonts w:ascii="Times New Roman" w:hAnsi="Times New Roman" w:cs="Times New Roman"/>
              </w:rPr>
              <w:lastRenderedPageBreak/>
              <w:t>ulicy Żeromskiego i Derdowskiego:</w:t>
            </w:r>
          </w:p>
          <w:p w14:paraId="74FF69E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058DB47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U, P - teren zabudowy usługowej, produkcyjnej,</w:t>
            </w:r>
          </w:p>
          <w:p w14:paraId="2851A123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MU - teren zabudowy mieszkaniowej i usługowej,</w:t>
            </w:r>
          </w:p>
          <w:p w14:paraId="5E9F760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ZU - teren zieleni urządzonej,</w:t>
            </w:r>
          </w:p>
          <w:p w14:paraId="267F10B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KDZ – droga klasy zbiorczej,</w:t>
            </w:r>
          </w:p>
          <w:p w14:paraId="73B0AB6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KDD – droga dojazdowa,</w:t>
            </w:r>
          </w:p>
          <w:p w14:paraId="5BAC3202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XLIX//9/2010 Rady Gminy Kosakowo z dnia 27 stycznia 2010 r. w sprawie uchwalenia zmiany miejscowego planu zagospodarowania przestrzennego wsi Kosakowo w gminie Kosakowo:</w:t>
            </w:r>
          </w:p>
          <w:p w14:paraId="78075B5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ZL – teren lasu,</w:t>
            </w:r>
          </w:p>
          <w:p w14:paraId="4D4889B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 zabudowy mieszkaniowej jednorodzinnej,</w:t>
            </w:r>
          </w:p>
          <w:p w14:paraId="72D86C2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US, ZP - teren zieleni urządzonej oraz usług sportu i rekreacji,</w:t>
            </w:r>
          </w:p>
          <w:p w14:paraId="73B8F35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OP - teren obiektów produkcyjnych, składów i magazynów</w:t>
            </w:r>
          </w:p>
          <w:p w14:paraId="195D6525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teren zabudowy usługowej,</w:t>
            </w:r>
          </w:p>
          <w:p w14:paraId="2EFE09F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 - teren infrastruktury technicznej – kanalizacja sanitarna (przepompownia ścieków )</w:t>
            </w:r>
          </w:p>
          <w:p w14:paraId="62D22F0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KS – tereny parkingów,</w:t>
            </w:r>
          </w:p>
          <w:p w14:paraId="34635D56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PG – tereny i obszary górnicze,</w:t>
            </w:r>
          </w:p>
          <w:p w14:paraId="630089C0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 – tereny rolnicze,</w:t>
            </w:r>
          </w:p>
          <w:p w14:paraId="26B17EF7" w14:textId="77777777" w:rsidR="002B7203" w:rsidRPr="00CD5C3B" w:rsidRDefault="002B7203" w:rsidP="002B7203">
            <w:pPr>
              <w:pStyle w:val="Akapitzlist"/>
              <w:numPr>
                <w:ilvl w:val="0"/>
                <w:numId w:val="3"/>
              </w:numPr>
              <w:spacing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 NR XXIV/69/2008 RADY GMINY KOSAKOWO 3 września 2008 roku w sprawie: uchwalenia miejscowego planu zagospodarowania przestrzennego działek nr ew.72,73,74,75,76,77,78 oraz części działki nr 80,86,88,89,139 położonych w Dębogórzu w rejonie ulicy Szarotki, gmina Kosakowo:</w:t>
            </w:r>
          </w:p>
          <w:p w14:paraId="0260990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MN – teren zabudowy mieszkaniowej,</w:t>
            </w:r>
          </w:p>
          <w:p w14:paraId="4EDA9BF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 – Usługi towarzyszące zabudowie mieszkaniowej</w:t>
            </w:r>
          </w:p>
          <w:p w14:paraId="339D71ED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ZP – zieleń urządzona,</w:t>
            </w:r>
          </w:p>
          <w:p w14:paraId="3A2867DE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 – L1/2 - tereny dróg publicznych lokalnych, </w:t>
            </w:r>
          </w:p>
          <w:p w14:paraId="3B25702A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KD-D 1/2 – tereny dróg publicznych - ulice dojazdowe </w:t>
            </w:r>
          </w:p>
          <w:p w14:paraId="264CBDCC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KDW – tereny ulic wewnętrznych</w:t>
            </w:r>
          </w:p>
          <w:p w14:paraId="6919F9F9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 xml:space="preserve">K - przepompownia ścieków – wydzielona liniami wewnętrznymi, </w:t>
            </w:r>
          </w:p>
          <w:p w14:paraId="2497AE82" w14:textId="77777777" w:rsidR="002B7203" w:rsidRPr="00CD5C3B" w:rsidRDefault="002B7203" w:rsidP="002B7203">
            <w:pPr>
              <w:pStyle w:val="Akapitzlist"/>
              <w:numPr>
                <w:ilvl w:val="1"/>
                <w:numId w:val="3"/>
              </w:numPr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E - stacja transformatorowa – wydzielona liniami wewnętrznymi.</w:t>
            </w:r>
          </w:p>
          <w:p w14:paraId="6A0E7E07" w14:textId="77777777" w:rsidR="002B7203" w:rsidRPr="00CD5C3B" w:rsidRDefault="002B7203" w:rsidP="00BA60D1">
            <w:pPr>
              <w:ind w:left="207"/>
              <w:jc w:val="both"/>
              <w:rPr>
                <w:rFonts w:ascii="Times New Roman" w:hAnsi="Times New Roman" w:cs="Times New Roman"/>
              </w:rPr>
            </w:pPr>
          </w:p>
          <w:p w14:paraId="4905B35A" w14:textId="77777777" w:rsidR="002B7203" w:rsidRPr="00CD5C3B" w:rsidRDefault="002B7203" w:rsidP="00BA60D1">
            <w:pPr>
              <w:jc w:val="both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Na terenach objętych powyższymi planami nie przewiduje się budowy oczyszczalni ścieków, spalarni śmieci, wysypisk i cmentarzy.</w:t>
            </w:r>
          </w:p>
          <w:p w14:paraId="7ABE513E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3BC3567A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1754C86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C0575D6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Studium uwarunkowań i kierunków zagospodarowania przestrzennego gminy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88685AE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EBD269D" w14:textId="77777777" w:rsidTr="00BA60D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FD9603C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14DB66F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Decyzjach o warunkach zabudowy i zagospodarowania terenu</w:t>
            </w:r>
          </w:p>
          <w:p w14:paraId="7D5CBBF4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9A3749A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0" w:name="_Hlk177499299"/>
            <w:r>
              <w:rPr>
                <w:rFonts w:ascii="Times New Roman" w:hAnsi="Times New Roman" w:cs="Times New Roman"/>
              </w:rPr>
              <w:t>Decyzja o warunkach zabudowy wydana przez Wójta Gminy Kosakowo z dnia 12.06.2019 r., PP.6730.4.2019 ustalająca warunki zabudowy dla Spartan Domy Sp. z o. o. na działkach nr 1111/5, 1111/6, 1111/8, 1200/4, 1200/5, 1200/6, 1200/7, 1227, 1228, 1229, 1230, 1231, 1232, położonych w Pogórzu, gmina Kosakowo</w:t>
            </w:r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7203" w:rsidRPr="00CD5C3B" w14:paraId="1324734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97F39BC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20D6E64C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Decyzjach o środowiskowych uwarunkowaniach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F4DB4F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3BBBAB0" w14:textId="77777777" w:rsidTr="00BA60D1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8661A1D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0004CFC3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Uchwałach o obszarach ograniczonego użytkowania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53A31DD1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A962A61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3F5B885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4B4A434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Miejscowych planach odbudowy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10C293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EBFB47E" w14:textId="77777777" w:rsidTr="00BA60D1">
        <w:trPr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DE48754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23289548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Mapach zagrożenia powodziowego i mapach ryzyka powodziowego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6F3B6F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717D69E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B7C228A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4"/>
          </w:tcPr>
          <w:p w14:paraId="3445B6AA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Ustalenia decyzji w zakresie rozmieszczenia inwestycji celu publicznego, mogące mieć znaczenie dla terenu objętego przedsięwzięciem deweloperskim lub zadaniem inwestycyjnym</w:t>
            </w:r>
          </w:p>
        </w:tc>
      </w:tr>
      <w:tr w:rsidR="002B7203" w:rsidRPr="00CD5C3B" w14:paraId="5BA53E70" w14:textId="77777777" w:rsidTr="00BA60D1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7353B992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E031856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drogowej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7C996A7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27B792C6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6D592A3F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0B6B1BE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linii kolejowej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4BCD8D6E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F10F59E" w14:textId="77777777" w:rsidTr="00BA60D1">
        <w:trPr>
          <w:trHeight w:val="10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886794A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9E7F109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w zakresie lotniska użytku publicznego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216C85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0AEA1B12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8AB8ED6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8936975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pozwoleniu na realizację inwestycji w zakresie budowli przeciwpowodziow</w:t>
            </w:r>
            <w:r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0A416C7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49D30E10" w14:textId="77777777" w:rsidTr="00BA60D1">
        <w:trPr>
          <w:trHeight w:val="9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521D4A38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48B52787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inwestycji w zakresie budowy obiektu energetyki jądrowej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8BA3012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A05EBF9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0CF4864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B18F03A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strategicznej inwestycji w zakresie sieci przesyłowej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36C4E159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530A2DB7" w14:textId="77777777" w:rsidTr="00BA60D1">
        <w:trPr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103A84B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002A22C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regionalnej sieci szerokopasmowej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70143A36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1AC0089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4888A850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3DADCEF1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inwestycji w zakresie Centralnego Portu Komunikacyjnego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4FE8D12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70A89BE7" w14:textId="77777777" w:rsidTr="00BA60D1">
        <w:trPr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2E9D52ED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648308B1" w14:textId="77777777" w:rsidR="002B7203" w:rsidRPr="00CD5C3B" w:rsidRDefault="002B7203" w:rsidP="00BA60D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zezwoleniu na realizację inwestycji w zakresie infrastruktury dostępowej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11F149CB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7E3E5829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5" w:type="dxa"/>
            <w:vMerge/>
          </w:tcPr>
          <w:p w14:paraId="0F71DEBD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1E7AA8D7" w14:textId="77777777" w:rsidR="002B7203" w:rsidRPr="00CD5C3B" w:rsidRDefault="002B7203" w:rsidP="00BA60D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Decyzja o ustaleniu lokalizacji strategicznej inwestycji w sektorze naftowym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0" w:type="dxa"/>
            <w:gridSpan w:val="3"/>
          </w:tcPr>
          <w:p w14:paraId="62AC1213" w14:textId="77777777" w:rsidR="002B7203" w:rsidRPr="00CD5C3B" w:rsidRDefault="002B7203" w:rsidP="00BA60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17F7E80A" w14:textId="77777777" w:rsidTr="00BA60D1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38C9275D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t>INFORMACJE DOTYCZĄCE BUDYNKU</w:t>
            </w:r>
          </w:p>
        </w:tc>
      </w:tr>
      <w:tr w:rsidR="002B7203" w:rsidRPr="00CD5C3B" w14:paraId="7AED60A8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C8D8587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jest pozwolenie na budowę</w:t>
            </w:r>
          </w:p>
        </w:tc>
        <w:tc>
          <w:tcPr>
            <w:tcW w:w="6930" w:type="dxa"/>
            <w:gridSpan w:val="4"/>
          </w:tcPr>
          <w:p w14:paraId="7C4840DD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TAK</w:t>
            </w:r>
          </w:p>
        </w:tc>
      </w:tr>
      <w:tr w:rsidR="002B7203" w:rsidRPr="00CD5C3B" w14:paraId="4B50B1DE" w14:textId="77777777" w:rsidTr="00BA60D1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FA20F54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pozwolenie na budowę jest ostateczne</w:t>
            </w:r>
          </w:p>
        </w:tc>
        <w:tc>
          <w:tcPr>
            <w:tcW w:w="6930" w:type="dxa"/>
            <w:gridSpan w:val="4"/>
          </w:tcPr>
          <w:p w14:paraId="073304ED" w14:textId="77777777" w:rsidR="002B7203" w:rsidRPr="00CD5C3B" w:rsidRDefault="002B7203" w:rsidP="00BA60D1">
            <w:pPr>
              <w:pStyle w:val="Akapitzlist"/>
              <w:spacing w:after="160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TAK</w:t>
            </w:r>
          </w:p>
        </w:tc>
      </w:tr>
      <w:tr w:rsidR="002B7203" w:rsidRPr="00CD5C3B" w14:paraId="37FEBE94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1C46D35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Czy pozwolenie na budowę jest zaskarżone</w:t>
            </w:r>
          </w:p>
        </w:tc>
        <w:tc>
          <w:tcPr>
            <w:tcW w:w="6930" w:type="dxa"/>
            <w:gridSpan w:val="4"/>
          </w:tcPr>
          <w:p w14:paraId="179E891C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NIE</w:t>
            </w:r>
          </w:p>
        </w:tc>
      </w:tr>
      <w:tr w:rsidR="002B7203" w:rsidRPr="00CD5C3B" w14:paraId="68C63286" w14:textId="77777777" w:rsidTr="00BA60D1">
        <w:trPr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2E21193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Numer pozwolenia na budowę oraz nazwa organu, który je wydał</w:t>
            </w:r>
          </w:p>
        </w:tc>
        <w:tc>
          <w:tcPr>
            <w:tcW w:w="6930" w:type="dxa"/>
            <w:gridSpan w:val="4"/>
          </w:tcPr>
          <w:p w14:paraId="75C91E20" w14:textId="77777777" w:rsidR="002B7203" w:rsidRPr="00CD5C3B" w:rsidRDefault="002B7203" w:rsidP="00BA60D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1" w:name="_Hlk177499344"/>
            <w:r>
              <w:rPr>
                <w:rFonts w:ascii="Times New Roman" w:hAnsi="Times New Roman" w:cs="Times New Roman"/>
              </w:rPr>
              <w:t>AB/RW – 6740 /16 /22 /K</w:t>
            </w:r>
          </w:p>
          <w:p w14:paraId="3F9596C7" w14:textId="77777777" w:rsidR="002B7203" w:rsidRPr="00CD5C3B" w:rsidRDefault="002B7203" w:rsidP="00BA60D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Starosta Pucki</w:t>
            </w:r>
            <w:bookmarkEnd w:id="1"/>
          </w:p>
        </w:tc>
      </w:tr>
      <w:tr w:rsidR="002B7203" w:rsidRPr="00CD5C3B" w14:paraId="765FB4F9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68D1D8B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Data uprawomocnienia się decyzji o pozwoleniu na użytkowanie budynku</w:t>
            </w:r>
          </w:p>
        </w:tc>
        <w:tc>
          <w:tcPr>
            <w:tcW w:w="6930" w:type="dxa"/>
            <w:gridSpan w:val="4"/>
          </w:tcPr>
          <w:p w14:paraId="3EB30F53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dotyczy </w:t>
            </w:r>
          </w:p>
        </w:tc>
      </w:tr>
      <w:tr w:rsidR="002B7203" w:rsidRPr="00CD5C3B" w14:paraId="3E29B6BC" w14:textId="77777777" w:rsidTr="00BA60D1">
        <w:trPr>
          <w:trHeight w:val="3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0AE9BC8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 xml:space="preserve">Numer zgłoszenia budowy, o której mowa w art. 29 ust.1 pkt 1 ustawy z dnia 7 lipca 1994 r. – Prawo budowalne ( Dz. U. z 2020 r. </w:t>
            </w:r>
            <w:proofErr w:type="spellStart"/>
            <w:r w:rsidRPr="00CD5C3B">
              <w:rPr>
                <w:rFonts w:ascii="Times New Roman" w:hAnsi="Times New Roman" w:cs="Times New Roman"/>
              </w:rPr>
              <w:t>poz</w:t>
            </w:r>
            <w:proofErr w:type="spellEnd"/>
            <w:r w:rsidRPr="00CD5C3B">
              <w:rPr>
                <w:rFonts w:ascii="Times New Roman" w:hAnsi="Times New Roman" w:cs="Times New Roman"/>
              </w:rPr>
              <w:t xml:space="preserve"> 1333, 2127 i 2320 oraz z 2021 r. poz. 11, 234, 282 i 784 ), oraz oznaczenie organu, do którego dokonano zgłoszenia, wraz z informacją o braku wniesienia sprzeciwu przez ten organ</w:t>
            </w:r>
          </w:p>
        </w:tc>
        <w:tc>
          <w:tcPr>
            <w:tcW w:w="6930" w:type="dxa"/>
            <w:gridSpan w:val="4"/>
          </w:tcPr>
          <w:p w14:paraId="559B3414" w14:textId="77777777" w:rsidR="002B7203" w:rsidRPr="00CD5C3B" w:rsidRDefault="002B7203" w:rsidP="00BA60D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dotyczy </w:t>
            </w:r>
          </w:p>
        </w:tc>
      </w:tr>
      <w:tr w:rsidR="002B7203" w:rsidRPr="00CD5C3B" w14:paraId="31A563E5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1543179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Data zakończenia budowy domu jednorodzinnego</w:t>
            </w:r>
          </w:p>
        </w:tc>
        <w:tc>
          <w:tcPr>
            <w:tcW w:w="6930" w:type="dxa"/>
            <w:gridSpan w:val="4"/>
          </w:tcPr>
          <w:p w14:paraId="75FACD5D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30/11/2025</w:t>
            </w:r>
          </w:p>
        </w:tc>
      </w:tr>
      <w:tr w:rsidR="002B7203" w:rsidRPr="00CD5C3B" w14:paraId="7AF60CA4" w14:textId="77777777" w:rsidTr="00BA60D1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0F60C74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Planowany termin rozpoczęcia i zakończenia robót budowlanych</w:t>
            </w:r>
          </w:p>
        </w:tc>
        <w:tc>
          <w:tcPr>
            <w:tcW w:w="6930" w:type="dxa"/>
            <w:gridSpan w:val="4"/>
          </w:tcPr>
          <w:p w14:paraId="6A4883D2" w14:textId="77777777" w:rsidR="002B7203" w:rsidRPr="00CD5C3B" w:rsidRDefault="002B7203" w:rsidP="00BA60D1">
            <w:pPr>
              <w:pStyle w:val="Akapitzlist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23/09/2024 – 30/11/2025</w:t>
            </w:r>
          </w:p>
        </w:tc>
      </w:tr>
      <w:tr w:rsidR="002B7203" w:rsidRPr="00CD5C3B" w14:paraId="0652AE8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4C4FEB5C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Opis przedsięwzięcia deweloperskiego lub zadania inwestycyjnego</w:t>
            </w:r>
          </w:p>
        </w:tc>
        <w:tc>
          <w:tcPr>
            <w:tcW w:w="3390" w:type="dxa"/>
            <w:gridSpan w:val="3"/>
          </w:tcPr>
          <w:p w14:paraId="310504F6" w14:textId="77777777" w:rsidR="002B7203" w:rsidRPr="00CD5C3B" w:rsidRDefault="002B7203" w:rsidP="00BA60D1">
            <w:pPr>
              <w:pStyle w:val="Akapitzlist"/>
              <w:ind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Liczba budynków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289C115C" w14:textId="77777777" w:rsidR="002B7203" w:rsidRPr="00CD5C3B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2</w:t>
            </w:r>
          </w:p>
        </w:tc>
      </w:tr>
      <w:tr w:rsidR="002B7203" w:rsidRPr="00CD5C3B" w14:paraId="66E0B659" w14:textId="77777777" w:rsidTr="00BA60D1">
        <w:trPr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2CFEE636" w14:textId="77777777" w:rsidR="002B7203" w:rsidRPr="00CD5C3B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</w:tcPr>
          <w:p w14:paraId="49D265AE" w14:textId="77777777" w:rsidR="002B7203" w:rsidRPr="00CD5C3B" w:rsidRDefault="002B7203" w:rsidP="00BA60D1">
            <w:pPr>
              <w:pStyle w:val="Akapitzlist"/>
              <w:spacing w:after="160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Rozmieszczenie budynków na nieruchomości (należy podać minimalny odstęp między budynkami)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2793A9AA" w14:textId="77777777" w:rsidR="002B7203" w:rsidRPr="00CD5C3B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zabudowa bliźniacza</w:t>
            </w:r>
          </w:p>
        </w:tc>
      </w:tr>
      <w:tr w:rsidR="002B7203" w:rsidRPr="00CD5C3B" w14:paraId="57F1F881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5C05B22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Sposób pomiaru powierzchni użytkowej lokalu mieszkalnego albo domu jednorodzinnego</w:t>
            </w:r>
          </w:p>
        </w:tc>
        <w:tc>
          <w:tcPr>
            <w:tcW w:w="6930" w:type="dxa"/>
            <w:gridSpan w:val="4"/>
          </w:tcPr>
          <w:p w14:paraId="4F750948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Według normy PN-ISO 9836:1997</w:t>
            </w:r>
          </w:p>
        </w:tc>
      </w:tr>
      <w:tr w:rsidR="002B7203" w:rsidRPr="00CD5C3B" w14:paraId="25004557" w14:textId="77777777" w:rsidTr="00BA60D1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78D75589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Zamierzony sposób i procentowy udział źródeł finansowania przedsięwzięcia deweloperskiego lub zadania inwestycyjnego</w:t>
            </w:r>
          </w:p>
        </w:tc>
        <w:tc>
          <w:tcPr>
            <w:tcW w:w="3390" w:type="dxa"/>
            <w:gridSpan w:val="3"/>
          </w:tcPr>
          <w:p w14:paraId="77F95F74" w14:textId="77777777" w:rsidR="002B7203" w:rsidRPr="00CD5C3B" w:rsidRDefault="002B7203" w:rsidP="00BA60D1">
            <w:pPr>
              <w:pStyle w:val="Akapitzlist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Rodzaj posiadanych środków finansowych – kredyt, środki własne, inne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34CFDA8E" w14:textId="77777777" w:rsidR="002B7203" w:rsidRPr="00CD5C3B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Środki własne – 100 %</w:t>
            </w:r>
          </w:p>
        </w:tc>
      </w:tr>
      <w:tr w:rsidR="002B7203" w:rsidRPr="00CD5C3B" w14:paraId="752B1C50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1670E696" w14:textId="77777777" w:rsidR="002B7203" w:rsidRPr="00CD5C3B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</w:tcPr>
          <w:p w14:paraId="044AC304" w14:textId="77777777" w:rsidR="002B7203" w:rsidRPr="00CD5C3B" w:rsidRDefault="002B7203" w:rsidP="00BA60D1">
            <w:pPr>
              <w:pStyle w:val="Akapitzlist"/>
              <w:ind w:lef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 następujących instytucjach finansowych ( wypełnia się w przypadku kredytu)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0" w:type="dxa"/>
          </w:tcPr>
          <w:p w14:paraId="43281E9C" w14:textId="77777777" w:rsidR="002B7203" w:rsidRPr="00CD5C3B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0E6D3FEE" w14:textId="77777777" w:rsidTr="00BA60D1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11EA1A82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Środki ochrony nabywców </w:t>
            </w:r>
          </w:p>
        </w:tc>
        <w:tc>
          <w:tcPr>
            <w:tcW w:w="3375" w:type="dxa"/>
            <w:gridSpan w:val="3"/>
          </w:tcPr>
          <w:p w14:paraId="5D07A100" w14:textId="77777777" w:rsidR="002B7203" w:rsidRPr="00CD5C3B" w:rsidRDefault="002B7203" w:rsidP="00BA60D1">
            <w:pPr>
              <w:pStyle w:val="Akapitzlist"/>
              <w:ind w:lef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CD5C3B">
              <w:rPr>
                <w:rFonts w:ascii="Times New Roman" w:hAnsi="Times New Roman" w:cs="Times New Roman"/>
                <w:u w:val="single"/>
              </w:rPr>
              <w:t>Otwarty mieszkaniowy rachunek powierniczy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08B86A8D" w14:textId="77777777" w:rsidR="002B7203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Zamknięty mieszkaniowy rachunek powierniczy*</w:t>
            </w:r>
          </w:p>
          <w:p w14:paraId="25DC45C4" w14:textId="77777777" w:rsidR="002B7203" w:rsidRPr="00CD5C3B" w:rsidRDefault="002B7203" w:rsidP="00BA60D1">
            <w:pPr>
              <w:pStyle w:val="Akapitzlist"/>
              <w:ind w:lef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2B7203" w:rsidRPr="00CD5C3B" w14:paraId="30669BDD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14:paraId="103A4B21" w14:textId="77777777" w:rsidR="002B7203" w:rsidRPr="00CD5C3B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gridSpan w:val="3"/>
          </w:tcPr>
          <w:p w14:paraId="2760F746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Wysokość stawki procentowej, według której jest obliczana kwota składki na Deweloperski Fundusz Gwarancyjny</w:t>
            </w:r>
            <w:r>
              <w:rPr>
                <w:rFonts w:ascii="Times New Roman" w:hAnsi="Times New Roman" w:cs="Times New Roman"/>
              </w:rPr>
              <w:t xml:space="preserve"> – 0,45%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4DFAFA71" w14:textId="77777777" w:rsidR="002B7203" w:rsidRPr="00BE026C" w:rsidRDefault="002B7203" w:rsidP="00BA60D1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BE026C">
              <w:rPr>
                <w:rFonts w:ascii="Times New Roman" w:hAnsi="Times New Roman" w:cs="Times New Roman"/>
              </w:rPr>
              <w:t>0,45%</w:t>
            </w:r>
          </w:p>
        </w:tc>
      </w:tr>
      <w:tr w:rsidR="002B7203" w:rsidRPr="00CD5C3B" w14:paraId="7602D224" w14:textId="77777777" w:rsidTr="00BA60D1">
        <w:trPr>
          <w:trHeight w:val="1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B764CD1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Główne zasady funkcjonowania wybranego rodzaju zabezpieczenia  środków nabywcy</w:t>
            </w:r>
          </w:p>
        </w:tc>
        <w:tc>
          <w:tcPr>
            <w:tcW w:w="6930" w:type="dxa"/>
            <w:gridSpan w:val="4"/>
          </w:tcPr>
          <w:p w14:paraId="346DDE78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Deweloper oświadcza, że zgodnie z umową o prowadzenie rachunku powierniczego koszty prowadzenia tego rachunku obciążają Dewelopera.</w:t>
            </w:r>
            <w:r w:rsidRPr="00CE5810">
              <w:rPr>
                <w:rFonts w:ascii="Times New Roman" w:hAnsi="Times New Roman" w:cs="Times New Roman"/>
                <w:color w:val="000000"/>
              </w:rPr>
              <w:t xml:space="preserve"> Wypłata deweloperowi środków zdeponowanych na otwartym mieszkaniowym rachunku powierniczym następuje:</w:t>
            </w:r>
          </w:p>
          <w:p w14:paraId="75FC74D6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E5810">
              <w:rPr>
                <w:rFonts w:ascii="Times New Roman" w:hAnsi="Times New Roman" w:cs="Times New Roman"/>
                <w:color w:val="000000"/>
              </w:rPr>
              <w:t>-zgodnie z harmonogramem przedsięwzięcia deweloperskiego po stwierdzeniu przez Bank zakończenia danego etapu realizacji przedsięwzięcia deweloperskiego,</w:t>
            </w:r>
          </w:p>
          <w:p w14:paraId="711B2E60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  <w:color w:val="000000"/>
              </w:rPr>
              <w:t xml:space="preserve">- w wysokości kwoty stanowiącej iloczyn procentu kosztów danego etapu określonego w harmonogramie przedsięwzięcia deweloperskiego oraz ceny lokalu mieszkalnego, </w:t>
            </w:r>
          </w:p>
          <w:p w14:paraId="3ACF03CC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- nie wcześniej niż po 30 dniach od dnia zawarcia umowy deweloperskiej, ---------------</w:t>
            </w:r>
          </w:p>
          <w:p w14:paraId="32D18ABE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- w przypadku zakończenia </w:t>
            </w:r>
            <w:r>
              <w:rPr>
                <w:rFonts w:ascii="Times New Roman" w:hAnsi="Times New Roman" w:cs="Times New Roman"/>
              </w:rPr>
              <w:t xml:space="preserve">ostatniego etapu </w:t>
            </w:r>
            <w:r w:rsidRPr="00CE5810">
              <w:rPr>
                <w:rFonts w:ascii="Times New Roman" w:hAnsi="Times New Roman" w:cs="Times New Roman"/>
              </w:rPr>
              <w:t>przedsięwzięcia deweloperskiego, bank wypłaca deweloperowi środki pozostałe na mieszkaniowym rachunku powierniczym po otrzymaniu wypisu aktu notarialnego – umowy przeniesienia własności na nabywcę praw będących przedmiotem niniejszej umowy w stanie wolnym od obciążeń oraz praw i roszczeń osób trzecich, za wyjątkiem tych, na które zgodę wyraził nabywca</w:t>
            </w:r>
          </w:p>
          <w:p w14:paraId="2BC46880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398A">
              <w:rPr>
                <w:rFonts w:ascii="Times New Roman" w:hAnsi="Times New Roman" w:cs="Times New Roman"/>
                <w:color w:val="000000"/>
              </w:rPr>
              <w:t>Bank dokonuje kontroli zakończenia każdego z etapów przedsięwzięcia deweloperskiego przed wypłatą środków pieniężnych. W zakresie kontroli, o której mowa wyżej Bank uzyskuje prawo wglądu do rachunków bankowych dewelopera oraz kontroli dokumentacji. Koszty kontroli ponosi deweloper. Deweloper dysponuje środkami wypłacanymi z otwartego mieszkaniowego rachunku powierniczego w celu finansowania lub refinansowania przedsięwzięcia deweloperskiego, dla którego jest prowadzony ten rachunek.</w:t>
            </w:r>
            <w:r w:rsidRPr="009C398A" w:rsidDel="009C39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8E9C94C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BDC376F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Nabywca dokonuje wpłat na mieszkaniowy rachunek powierniczy zgodnie z postępem realizacji przedsięwzięcia deweloperskiego. </w:t>
            </w:r>
            <w:bookmarkStart w:id="2" w:name="mip59469130"/>
            <w:bookmarkEnd w:id="2"/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Wysokość wpłat dokonywanych przez nabywcę jest uzależniona od faktycznego stopnia realizacji poszczególnych etapów przedsięwzięcia deweloperskiego, określonych w jego harmonogramie.</w:t>
            </w:r>
            <w:bookmarkStart w:id="3" w:name="mip59469131"/>
            <w:bookmarkEnd w:id="3"/>
            <w:r w:rsidRPr="00CE5810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Nabywca dokonuje wpłat na mieszkaniowy rachunek powierniczy po zakończeniu danego etapu przedsięwzięcia deweloperskiego, określonego w jego harmonogramie. Deweloper informuje nabywcę na papierze lub innym trwałym nośniku o zakończeniu danego etapu przedsięwzięcia deweloperskiego.-----------------------------</w:t>
            </w:r>
          </w:p>
          <w:p w14:paraId="3A477A76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bookmarkStart w:id="4" w:name="mip59469133"/>
            <w:bookmarkEnd w:id="4"/>
            <w:r w:rsidRPr="00CE5810">
              <w:rPr>
                <w:rFonts w:ascii="Times New Roman" w:hAnsi="Times New Roman" w:cs="Times New Roman"/>
                <w:color w:val="333333"/>
              </w:rPr>
              <w:t>Prawo wypowiedzenia umowy mieszkaniowego rachunku powierniczego przysługuje wyłącznie bankowi i tylko z ważnych powodów</w:t>
            </w:r>
            <w:bookmarkStart w:id="5" w:name="mip59469134"/>
            <w:bookmarkStart w:id="6" w:name="mip59469135"/>
            <w:bookmarkEnd w:id="5"/>
            <w:bookmarkEnd w:id="6"/>
            <w:r w:rsidRPr="00CE5810">
              <w:rPr>
                <w:rFonts w:ascii="Times New Roman" w:hAnsi="Times New Roman" w:cs="Times New Roman"/>
                <w:color w:val="333333"/>
              </w:rPr>
              <w:t>. Bank informuje nabywcę na papierze lub innym trwałym nośniku o terminie, w którym wypowiedział umowę mieszkaniowego rachunku powierniczego, w terminie 10 dni od dnia jej wypowiedzenia</w:t>
            </w:r>
            <w:bookmarkStart w:id="7" w:name="mip59469136"/>
            <w:bookmarkStart w:id="8" w:name="mip59469137"/>
            <w:bookmarkEnd w:id="7"/>
            <w:bookmarkEnd w:id="8"/>
            <w:r w:rsidRPr="00CE5810">
              <w:rPr>
                <w:rFonts w:ascii="Times New Roman" w:hAnsi="Times New Roman" w:cs="Times New Roman"/>
                <w:color w:val="333333"/>
              </w:rPr>
              <w:t xml:space="preserve">. W przypadku wypowiedzenia umowy mieszkaniowego rachunku powierniczego deweloper niezwłocznie zawiera z innym bankiem </w:t>
            </w:r>
            <w:r w:rsidRPr="001E36A6">
              <w:rPr>
                <w:rFonts w:ascii="Times New Roman" w:hAnsi="Times New Roman" w:cs="Times New Roman"/>
                <w:color w:val="333333"/>
              </w:rPr>
              <w:t xml:space="preserve">lub spółdzielczą kasą oszczędnościowo-kredytową </w:t>
            </w:r>
            <w:r w:rsidRPr="00CE5810">
              <w:rPr>
                <w:rFonts w:ascii="Times New Roman" w:hAnsi="Times New Roman" w:cs="Times New Roman"/>
                <w:color w:val="333333"/>
              </w:rPr>
              <w:t>umowę mieszkaniowego rachunku powierniczego, jednak nie później niż w terminie 60 dni od dnia wypowiedzenia tej umowy przez bank, z zastrzeżeniem, że przedmiotem zawieranej umowy jest prowadzenie takiego samego rodzaju mieszkaniowego rachunku powierniczego, jak w przypadku umowy, która została wypowiedziana</w:t>
            </w:r>
            <w:bookmarkStart w:id="9" w:name="mip59469138"/>
            <w:bookmarkEnd w:id="9"/>
            <w:r w:rsidRPr="00CE5810">
              <w:rPr>
                <w:rFonts w:ascii="Times New Roman" w:hAnsi="Times New Roman" w:cs="Times New Roman"/>
                <w:color w:val="333333"/>
              </w:rPr>
              <w:t xml:space="preserve">. Środki zgromadzone na likwidowanym mieszkaniowym rachunku powierniczym są niezwłocznie przekazywane przez bank, w którym </w:t>
            </w:r>
            <w:r w:rsidRPr="00CE5810">
              <w:rPr>
                <w:rFonts w:ascii="Times New Roman" w:hAnsi="Times New Roman" w:cs="Times New Roman"/>
                <w:color w:val="333333"/>
              </w:rPr>
              <w:lastRenderedPageBreak/>
              <w:t>dotychczas prowadzono taki rachunek, na mieszkaniowy rachunek powierniczy otwarty przez dewelopera w innym banku</w:t>
            </w:r>
            <w:r>
              <w:rPr>
                <w:rFonts w:ascii="Times New Roman" w:hAnsi="Times New Roman" w:cs="Times New Roman"/>
                <w:color w:val="333333"/>
              </w:rPr>
              <w:t xml:space="preserve"> lub kasie</w:t>
            </w:r>
            <w:r w:rsidRPr="00CE5810">
              <w:rPr>
                <w:rFonts w:ascii="Times New Roman" w:hAnsi="Times New Roman" w:cs="Times New Roman"/>
                <w:color w:val="333333"/>
              </w:rPr>
              <w:t xml:space="preserve">, po przedstawieniu przez dewelopera oświadczenia z tego banku </w:t>
            </w:r>
            <w:r>
              <w:rPr>
                <w:rFonts w:ascii="Times New Roman" w:hAnsi="Times New Roman" w:cs="Times New Roman"/>
                <w:color w:val="333333"/>
              </w:rPr>
              <w:t xml:space="preserve">lub z tej kasy  </w:t>
            </w:r>
            <w:r w:rsidRPr="00CE5810">
              <w:rPr>
                <w:rFonts w:ascii="Times New Roman" w:hAnsi="Times New Roman" w:cs="Times New Roman"/>
                <w:color w:val="333333"/>
              </w:rPr>
              <w:t xml:space="preserve">potwierdzającego, że rachunek, na który mają być przekazane środki, jest mieszkaniowym rachunkiem powierniczym w rozumieniu ustawy o ochronie praw nabywcy lokalu mieszkalnego lub domu jednorodzinnego oraz Deweloperskim Funduszu Gwarancyjnym, zwaną dalej „ustawą”. </w:t>
            </w:r>
            <w:bookmarkStart w:id="10" w:name="mip59469139"/>
            <w:bookmarkEnd w:id="10"/>
            <w:r w:rsidRPr="00CE5810">
              <w:rPr>
                <w:rFonts w:ascii="Times New Roman" w:hAnsi="Times New Roman" w:cs="Times New Roman"/>
                <w:color w:val="333333"/>
              </w:rPr>
              <w:t>W przypadku gdy deweloper nie przedstawi oświadczenia banku</w:t>
            </w:r>
            <w:r>
              <w:rPr>
                <w:rFonts w:ascii="Times New Roman" w:hAnsi="Times New Roman" w:cs="Times New Roman"/>
                <w:color w:val="333333"/>
              </w:rPr>
              <w:t xml:space="preserve"> lub kasy</w:t>
            </w:r>
            <w:r w:rsidRPr="00CE5810">
              <w:rPr>
                <w:rFonts w:ascii="Times New Roman" w:hAnsi="Times New Roman" w:cs="Times New Roman"/>
                <w:color w:val="333333"/>
              </w:rPr>
              <w:t>, o którym mowa wyżej, w terminie 60 dni od dnia wypowiedzenia umowy mieszkaniowego rachunku powierniczego, bank niezwłocznie zwraca nabywcom środki znajdujące się na tym rachunku.</w:t>
            </w:r>
          </w:p>
          <w:p w14:paraId="6331D23D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</w:rPr>
            </w:pPr>
            <w:bookmarkStart w:id="11" w:name="mip59469140"/>
            <w:bookmarkStart w:id="12" w:name="mip59469141"/>
            <w:bookmarkStart w:id="13" w:name="mip59469142"/>
            <w:bookmarkEnd w:id="11"/>
            <w:bookmarkEnd w:id="12"/>
            <w:bookmarkEnd w:id="13"/>
            <w:r w:rsidRPr="00CE5810">
              <w:rPr>
                <w:rFonts w:ascii="Times New Roman" w:hAnsi="Times New Roman" w:cs="Times New Roman"/>
                <w:color w:val="333333"/>
              </w:rPr>
              <w:t xml:space="preserve">Deweloper, w terminie 10 dni od dnia zawarcia umowy mieszkaniowego rachunku powierniczego w trybie, o którym mowa powyżej, informuje nabywcę na papierze lub innym trwałym nośniku o dokonanej zmianie. </w:t>
            </w:r>
            <w:bookmarkStart w:id="14" w:name="mip59469143"/>
            <w:bookmarkEnd w:id="14"/>
            <w:r w:rsidRPr="00CE5810">
              <w:rPr>
                <w:rFonts w:ascii="Times New Roman" w:hAnsi="Times New Roman" w:cs="Times New Roman"/>
                <w:color w:val="333333"/>
              </w:rPr>
              <w:t>Nabywca może wstrzymać dokonywanie kolejnych wpłat na mieszkaniowy rachunek powierniczy do czasu wykonania przez dewelopera tego obowiązku.----------------------------------------------------------------------</w:t>
            </w:r>
          </w:p>
          <w:p w14:paraId="095B520B" w14:textId="77777777" w:rsidR="002B7203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28F3">
              <w:rPr>
                <w:rFonts w:ascii="Times New Roman" w:hAnsi="Times New Roman" w:cs="Times New Roman"/>
              </w:rPr>
              <w:t>Bank prowadzący mieszkaniowy rachunek powierniczy ewidencjonuje wpłaty i wypłaty odrębnie dla każdego nabywcy, a na żądanie nabywcy podają szczegółowe informacje dotyczące wpłat i wypłat dokonanych w wykonaniu umowy, której stroną jest nabywca występujący z żądaniem udzielenia informacji, takie jak data oraz kwoty wpłat i wypłat.</w:t>
            </w:r>
          </w:p>
          <w:p w14:paraId="0F672858" w14:textId="77777777" w:rsidR="002B7203" w:rsidRPr="0016264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t>W przypadku odstąpienia na podstawie art. 43 ustawy od umowy deweloperskiej, przez jedną ze stron, bank wypłaca nabywcy przypadające mu środki pieniężne pozostałe na mieszkaniowym rachunku powierniczym w nominalnej wysokości niezwłocznie po otrzymaniu oświadczenia o odstąpieniu od tej umowy oraz dokumentów wymienionych w umowie o prowadzenie otwartego mieszkaniowego rachunku powierniczego.</w:t>
            </w:r>
          </w:p>
          <w:p w14:paraId="0383823A" w14:textId="77777777" w:rsidR="002B7203" w:rsidRPr="0016264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t>W przypadku rozwiązania umowy deweloperskiej, innego niż na podstawie art. 43</w:t>
            </w:r>
            <w:r>
              <w:rPr>
                <w:rFonts w:ascii="Times New Roman" w:hAnsi="Times New Roman" w:cs="Times New Roman"/>
              </w:rPr>
              <w:t xml:space="preserve"> ustawy</w:t>
            </w:r>
            <w:r w:rsidRPr="00162640">
              <w:rPr>
                <w:rFonts w:ascii="Times New Roman" w:hAnsi="Times New Roman" w:cs="Times New Roman"/>
              </w:rPr>
              <w:t>, strony przedstawią zgodne oświadczenia woli o sposobie podziału środków pieniężnych zgromadzonych przez nabywcę na mieszkaniowym rachunku powierniczym.</w:t>
            </w:r>
          </w:p>
          <w:p w14:paraId="67279EC5" w14:textId="77777777" w:rsidR="002B7203" w:rsidRPr="00CE5810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2640">
              <w:rPr>
                <w:rFonts w:ascii="Times New Roman" w:hAnsi="Times New Roman" w:cs="Times New Roman"/>
              </w:rPr>
              <w:t>Bank wypłaca środki zgromadzone na mieszkaniowym rachunku powierniczym w nominalnej wysokości niezwłocznie po otrzymaniu oświadczeń, o których mowa powyżej oraz dokumentów wymienionych w umowie o prowadzenie otwartego mieszkaniowego rachunku powierniczego.</w:t>
            </w:r>
          </w:p>
        </w:tc>
      </w:tr>
      <w:tr w:rsidR="002B7203" w:rsidRPr="00CD5C3B" w14:paraId="13D9991B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544A277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Nazwa instytucji zapewniającej bezpieczeństwo środków nabywcy</w:t>
            </w:r>
          </w:p>
        </w:tc>
        <w:tc>
          <w:tcPr>
            <w:tcW w:w="6930" w:type="dxa"/>
            <w:gridSpan w:val="4"/>
          </w:tcPr>
          <w:p w14:paraId="1519A4F2" w14:textId="77777777" w:rsidR="002B7203" w:rsidRPr="00CD5C3B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Rumia Spółdzielczy</w:t>
            </w:r>
            <w:r w:rsidRPr="00CD5C3B">
              <w:rPr>
                <w:rFonts w:ascii="Times New Roman" w:hAnsi="Times New Roman" w:cs="Times New Roman"/>
              </w:rPr>
              <w:t>, Oddział w Kosakowie</w:t>
            </w:r>
          </w:p>
        </w:tc>
      </w:tr>
      <w:tr w:rsidR="002B7203" w:rsidRPr="00CD5C3B" w14:paraId="687DAD8C" w14:textId="77777777" w:rsidTr="00BA60D1">
        <w:trPr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D35556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>Harmonogram przedsięwzięcia deweloperskiego lub zadania inwestycyjnego</w:t>
            </w:r>
          </w:p>
        </w:tc>
        <w:tc>
          <w:tcPr>
            <w:tcW w:w="6930" w:type="dxa"/>
            <w:gridSpan w:val="4"/>
          </w:tcPr>
          <w:p w14:paraId="4F7D8461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Realizacja przedsięwzięcia deweloperskiego na działce </w:t>
            </w:r>
            <w:r>
              <w:rPr>
                <w:rFonts w:ascii="Times New Roman" w:hAnsi="Times New Roman" w:cs="Times New Roman"/>
              </w:rPr>
              <w:t xml:space="preserve">Sowia 34 i 36 </w:t>
            </w:r>
            <w:r w:rsidRPr="00E36D16">
              <w:rPr>
                <w:rFonts w:ascii="Times New Roman" w:hAnsi="Times New Roman" w:cs="Times New Roman"/>
              </w:rPr>
              <w:t xml:space="preserve"> będzie przebiegać w pięciu etapach, według następującego harmonogramu:</w:t>
            </w:r>
          </w:p>
          <w:p w14:paraId="1D4C69A9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7E4BDE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E36D16">
              <w:rPr>
                <w:rFonts w:ascii="Times New Roman" w:hAnsi="Times New Roman" w:cs="Times New Roman"/>
              </w:rPr>
              <w:t xml:space="preserve">Roboty przygotowawcze: </w:t>
            </w:r>
            <w:r>
              <w:rPr>
                <w:rFonts w:ascii="Times New Roman" w:hAnsi="Times New Roman" w:cs="Times New Roman"/>
                <w:b/>
                <w:bCs/>
              </w:rPr>
              <w:t>23/09/2024 – 14/02/2025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14% całego przedsięwzięcia deweloperskiego;</w:t>
            </w:r>
          </w:p>
          <w:p w14:paraId="63314476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41C4146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2) Stan zero: </w:t>
            </w:r>
            <w:r>
              <w:rPr>
                <w:rFonts w:ascii="Times New Roman" w:hAnsi="Times New Roman" w:cs="Times New Roman"/>
                <w:b/>
                <w:bCs/>
              </w:rPr>
              <w:t>15/02/2025 – 22/04/2025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16% całego przedsięwzięcia deweloperskiego;</w:t>
            </w:r>
          </w:p>
          <w:p w14:paraId="7B011589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A41364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lastRenderedPageBreak/>
              <w:t xml:space="preserve">3) Stan surowy otwarty: </w:t>
            </w:r>
            <w:r>
              <w:rPr>
                <w:rFonts w:ascii="Times New Roman" w:hAnsi="Times New Roman" w:cs="Times New Roman"/>
                <w:b/>
                <w:bCs/>
              </w:rPr>
              <w:t>23/04/2025 – 29/06/2025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25% przedsięwzięcia deweloperskiego;</w:t>
            </w:r>
          </w:p>
          <w:p w14:paraId="7888CF72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8B4CD0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4) Stan surowy zamknięty: </w:t>
            </w:r>
            <w:r>
              <w:rPr>
                <w:rFonts w:ascii="Times New Roman" w:hAnsi="Times New Roman" w:cs="Times New Roman"/>
                <w:b/>
                <w:bCs/>
              </w:rPr>
              <w:t>30/06/2025 – 30/09/2025</w:t>
            </w:r>
            <w:r w:rsidRPr="00E36D16">
              <w:rPr>
                <w:rFonts w:ascii="Times New Roman" w:hAnsi="Times New Roman" w:cs="Times New Roman"/>
              </w:rPr>
              <w:t xml:space="preserve"> r., etap ten stanowi 25% przedsięwzięcia deweloperskiego;</w:t>
            </w:r>
          </w:p>
          <w:p w14:paraId="020E9FE8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61940AE" w14:textId="77777777" w:rsidR="002B7203" w:rsidRPr="00E36D16" w:rsidRDefault="002B7203" w:rsidP="00BA60D1">
            <w:pPr>
              <w:tabs>
                <w:tab w:val="left" w:pos="176"/>
                <w:tab w:val="left" w:pos="1440"/>
              </w:tabs>
              <w:suppressAutoHyphens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6D16">
              <w:rPr>
                <w:rFonts w:ascii="Times New Roman" w:hAnsi="Times New Roman" w:cs="Times New Roman"/>
              </w:rPr>
              <w:t xml:space="preserve">5) Oddanie Budynku do użytkowania: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01/10/2025 – 30/11/2025 </w:t>
            </w:r>
            <w:r w:rsidRPr="00E36D16">
              <w:rPr>
                <w:rFonts w:ascii="Times New Roman" w:hAnsi="Times New Roman" w:cs="Times New Roman"/>
              </w:rPr>
              <w:t>r., etap ten stanowi 20% przedsięwzięcia deweloperskiego.</w:t>
            </w:r>
          </w:p>
          <w:p w14:paraId="11D30BF0" w14:textId="77777777" w:rsidR="002B7203" w:rsidRPr="00FA73B4" w:rsidRDefault="002B7203" w:rsidP="00BA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452D599C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877CDBB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lastRenderedPageBreak/>
              <w:t>Dopuszczenie waloryzacji ceny oraz określenie zasad waloryzacji</w:t>
            </w:r>
          </w:p>
        </w:tc>
        <w:tc>
          <w:tcPr>
            <w:tcW w:w="6930" w:type="dxa"/>
            <w:gridSpan w:val="4"/>
          </w:tcPr>
          <w:p w14:paraId="671C5673" w14:textId="77777777" w:rsidR="002B7203" w:rsidRPr="00B02E5E" w:rsidRDefault="002B7203" w:rsidP="00BA60D1">
            <w:pPr>
              <w:pStyle w:val="Akapitzlist"/>
              <w:ind w:left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2E5E">
              <w:rPr>
                <w:rFonts w:ascii="Times New Roman" w:hAnsi="Times New Roman" w:cs="Times New Roman"/>
              </w:rPr>
              <w:t>Waloryzacja nie jest dopuszczalna</w:t>
            </w:r>
          </w:p>
        </w:tc>
      </w:tr>
      <w:tr w:rsidR="002B7203" w:rsidRPr="00CD5C3B" w14:paraId="0C09F12F" w14:textId="77777777" w:rsidTr="00BA60D1">
        <w:trPr>
          <w:trHeight w:val="9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77D39BB9" w14:textId="77777777" w:rsidR="002B7203" w:rsidRPr="00CD5C3B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t>WARUNKI ODSTĘPIENIA OD UMOWY DEWELOPERSKIEJ LUB UMOWY, O KTÓREJ MOWA W ART. 2 UST. 1 PKT 2,3 LUB 5 USTAWY Z DNIA 20 MAJA 2021 R. O OCHRONIE PRAW NABYWCY LOKALU MIESZKALNEGO LUB DOMU JEDNORODZINNEGO ORAZ DEWELOPERSKIEM FUNDUSZU GWARANCYJNYM</w:t>
            </w:r>
          </w:p>
        </w:tc>
      </w:tr>
      <w:tr w:rsidR="002B7203" w:rsidRPr="00CD5C3B" w14:paraId="43724CBE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0" w:type="dxa"/>
          </w:tcPr>
          <w:p w14:paraId="74765DFB" w14:textId="77777777" w:rsidR="002B7203" w:rsidRPr="00CD5C3B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D5C3B">
              <w:rPr>
                <w:rFonts w:ascii="Times New Roman" w:hAnsi="Times New Roman" w:cs="Times New Roman"/>
              </w:rPr>
              <w:t xml:space="preserve">Warunki, na jakich można odstąpić od umowy deweloperskiej lub jednej z umów, o których mowa w art.2 ust. 1 pkt 2,3 i 5 ustawy z dnia 20 maja 2021 r. o ochronie praw nabywcy lokalu mieszkalnego lub domu jednorodzinnego oraz Deweloperskim Funduszu Gwarancyjny,. </w:t>
            </w:r>
          </w:p>
        </w:tc>
        <w:tc>
          <w:tcPr>
            <w:tcW w:w="6915" w:type="dxa"/>
            <w:gridSpan w:val="4"/>
          </w:tcPr>
          <w:p w14:paraId="7C005214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Nabywca ma prawo odstąpić od umowy deweloperskiej: </w:t>
            </w:r>
          </w:p>
          <w:p w14:paraId="3359B8AF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Umowa nie zawiera elementów, o których mowa w art. 35 Ustawy o ochronie praw nabywcy lokalu mieszkalnego lub domu jednorodzinnego oraz deweloperskim funduszu gwarancyjnym, zwanej dalej Ustawą; </w:t>
            </w:r>
          </w:p>
          <w:p w14:paraId="140EEF50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jeżeli informacje zawarte w Umowie nie są zgodne z informacjami zawartymi w prospekcie informacyjnym lub w załącznikach, za wyjątkiem zmian, o których mowa w art. 35 ust. 2 Ustawy;</w:t>
            </w:r>
          </w:p>
          <w:p w14:paraId="1BFF8C75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Deweloper nie doręczył zgodnie z art. 21 lub art. 22 Ustawy prospektu informacyjnego wraz z załącznikami lub informacji o zmianie danych lub informacji zawartych w prospekcie informacyjnym lub jego załącznikach; </w:t>
            </w:r>
          </w:p>
          <w:p w14:paraId="35BC276A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dane lub informacje zawarte w prospekcie informacyjnym lub w załącznikach, na podstawie których zawarto Umowę, są niezgodne ze stanem faktycznym i prawnym w dniu zawarcia umowy; </w:t>
            </w:r>
          </w:p>
          <w:p w14:paraId="0E40EF38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jeżeli prospekt informacyjny, na podstawie którego zawarto Umowę, nie zawiera</w:t>
            </w:r>
            <w:r>
              <w:rPr>
                <w:rFonts w:ascii="Times New Roman" w:hAnsi="Times New Roman" w:cs="Times New Roman"/>
              </w:rPr>
              <w:t xml:space="preserve"> danych lub</w:t>
            </w:r>
            <w:r w:rsidRPr="00CE5810">
              <w:rPr>
                <w:rFonts w:ascii="Times New Roman" w:hAnsi="Times New Roman" w:cs="Times New Roman"/>
              </w:rPr>
              <w:t xml:space="preserve"> informacji określonych we wzorze prospektu informacyjnego stanowiącego załącznik do Ustawy; </w:t>
            </w:r>
          </w:p>
          <w:p w14:paraId="6C25E56C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nie przeniesienia na Nabywcę praw wynikających z niniejszej umowy, w terminie określonym </w:t>
            </w:r>
            <w:r>
              <w:rPr>
                <w:rFonts w:ascii="Times New Roman" w:hAnsi="Times New Roman" w:cs="Times New Roman"/>
              </w:rPr>
              <w:t>w Umowie</w:t>
            </w:r>
            <w:r w:rsidRPr="00CE5810">
              <w:rPr>
                <w:rFonts w:ascii="Times New Roman" w:hAnsi="Times New Roman" w:cs="Times New Roman"/>
              </w:rPr>
              <w:t xml:space="preserve">. </w:t>
            </w:r>
          </w:p>
          <w:p w14:paraId="04DF5547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gdy deweloper nie zawrze umowy mieszkaniowego rachunku powierniczego z innym bankiem </w:t>
            </w:r>
            <w:r>
              <w:rPr>
                <w:rFonts w:ascii="Times New Roman" w:hAnsi="Times New Roman" w:cs="Times New Roman"/>
              </w:rPr>
              <w:t xml:space="preserve">lub kasą </w:t>
            </w:r>
            <w:r w:rsidRPr="00CE5810">
              <w:rPr>
                <w:rFonts w:ascii="Times New Roman" w:hAnsi="Times New Roman" w:cs="Times New Roman"/>
              </w:rPr>
              <w:t xml:space="preserve">w trybie i terminie o których mowa w art. 10 ust. 1 ustawy, </w:t>
            </w:r>
          </w:p>
          <w:p w14:paraId="06D72DC8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przypadku, gdy deweloper nie posiada zgody wierzyciela hipotecznego lub zobowiązanego do jej udzielenia, o którym mowa w art. 25 ust. 1 pkt 1 lub 2 ustawy, -</w:t>
            </w:r>
          </w:p>
          <w:p w14:paraId="080412D9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 niewykonania przez dewelopera obowiązku o którym mowa w art. 12 ust. 2 ustawy w terminie określonym w tym przepisie,</w:t>
            </w:r>
          </w:p>
          <w:p w14:paraId="1F53C35C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nieusunięcia przez dewelopera wady istotnej lokalu mieszkalnego na zasadach określonych w art. 41 ust. 1 ustawy, </w:t>
            </w:r>
          </w:p>
          <w:p w14:paraId="6B7A608F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stwierdzenia przez rzeczoznawcę istnienia wady istotnej, o której mowa w art. 41 ust. 15 ustawy, </w:t>
            </w:r>
          </w:p>
          <w:p w14:paraId="50D73A5F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jeżeli syndyk zażądał wykonania umowy na podstawie art. 98 ustawy z dnia 28 lutego 2003 roku Prawo upadłościowe, </w:t>
            </w:r>
          </w:p>
          <w:p w14:paraId="6BE7220E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lastRenderedPageBreak/>
              <w:t xml:space="preserve">W przypadkach, o których mowa w ust. 1 pkt. 1-5, Nabywca ma prawo odstąpienia od Umowy w terminie 30 dni od dnia jej zawarcia. </w:t>
            </w:r>
          </w:p>
          <w:p w14:paraId="1D12613C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przypadku, o którym mowa w ust. 1 pkt. 6, przed skorzystaniem z prawa do odstąpienia od Umowy, Nabywca wyznacza Deweloperowi 120 dniowy termin na przeniesienie praw wynikających z Umowy, a w razie bezskutecznego upływu wyznaczonego terminu będzie uprawniony do odstąpienia od tej Umowy.</w:t>
            </w:r>
          </w:p>
          <w:p w14:paraId="6528EEDF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W przypadku o którym mowa w ust. 1 pkt. 7, Nabywca ma prawo odstąpienia od Umowy po dokonaniu przez bank zwrotu środków, zgodnie z art. 10 ust. 3 ustawy.</w:t>
            </w:r>
          </w:p>
          <w:p w14:paraId="6E60C410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przypadku, o którym mowa w ust. 1 pkt. 8, Nabywca ma prawo odstąpienia od Umowy w terminie 60 dni od dnia jej zawarcia. </w:t>
            </w:r>
          </w:p>
          <w:p w14:paraId="114E9EF7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przypadku, o którym mowa w ust. 1 pkt. 9, Nabywca ma prawo odstąpienia od Umowy w terminie 60 dni od dnia podania do publicznej wiadomości informacji o których mowa w art. 12 ust. 1 Ustawy. </w:t>
            </w:r>
          </w:p>
          <w:p w14:paraId="103514AB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Deweloper ma prawo odstąpić od Umowy w przypadku niespełnienia przez Nabywcę świadczenia pieniężnego w terminie lub wysokości określonej w Umowie, mimo wezwania nabywcy w formie pisemnej do uiszczenia zaległych kwot w terminie 30 dni od dnia doręczenia wezwania, chyba że niespełnienie przez Nabywcę świadczenia pieniężnego jest spowodowane działaniem siły wyższej. </w:t>
            </w:r>
          </w:p>
          <w:p w14:paraId="5F669AAB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Deweloper ma prawo odstąpić od Umowy w przypadku niestawienia się Nabywcy do odbioru Lokalu lub podpisania aktu notarialnego przenoszącego na Nabywcę prawo własności Przedmiotu Umowy, pomimo dwukrotnego doręczenia wezwania w formie </w:t>
            </w:r>
            <w:r>
              <w:rPr>
                <w:rFonts w:ascii="Times New Roman" w:hAnsi="Times New Roman" w:cs="Times New Roman"/>
              </w:rPr>
              <w:t>pisemnej</w:t>
            </w:r>
            <w:r w:rsidRPr="00CE5810">
              <w:rPr>
                <w:rFonts w:ascii="Times New Roman" w:hAnsi="Times New Roman" w:cs="Times New Roman"/>
              </w:rPr>
              <w:t xml:space="preserve"> w odstępie co najmniej 60 dni, chyba że niestawienie się Nabywcy jest spowodowane działaniem siły wyższej. </w:t>
            </w:r>
          </w:p>
          <w:p w14:paraId="7E4874F3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skorzystania przez Nabywcę z prawa odstąpienia, Umowa uważana jest za niezawartą, a Nabywca nie ponosi żadnych kosztów związanych z odstąpieniem od Umowy. </w:t>
            </w:r>
          </w:p>
          <w:p w14:paraId="3CBB7E85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Oświadczenie woli Nabywcy o odstąpieniu od Umowy jest skuteczne, jeżeli zawiera zgodę na wykreślenie roszczenia o przeniesienie własności nieruchomości złożone w formie pisemnej z podpisami notarialnie poświadczonymi, w przypadku gdy został złożony wniosek o wpis takiego roszczenia do księgi wieczystej. </w:t>
            </w:r>
          </w:p>
          <w:p w14:paraId="7FF1920C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W przypadku odstąpienia od Umowy przez Dewelopera na podstawach opisanych  powyżej, Nabywca zobowiązany jest wyrazić zgodę na wykreślenie roszczenia o przeniesienie własności nieruchomości w formie pisemnej z podpisem notarialnie poświadczonym  i będzie obowiązany do naprawienia Deweloperowi poniesionej przez niego szkody na którą składać się będą również składki przekazane przez Dewelopera na Deweloperski Fundusz Gwarancyjny. </w:t>
            </w:r>
          </w:p>
          <w:p w14:paraId="717CDF7A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E5810">
              <w:rPr>
                <w:rFonts w:ascii="Times New Roman" w:hAnsi="Times New Roman" w:cs="Times New Roman"/>
              </w:rPr>
              <w:t>W przypadku odstąpienia od niniejszej Umowy przez którąkolwiek ze Stron, Deweloper zwróci Nabywcy kwotę wpłaconą na poczet Ceny w terminie 30 dni od dnia skutecznego odstąpienia od Umowy.</w:t>
            </w:r>
          </w:p>
          <w:p w14:paraId="5E9634BE" w14:textId="77777777" w:rsidR="002B7203" w:rsidRPr="00CE5810" w:rsidRDefault="002B7203" w:rsidP="00BA6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7203" w:rsidRPr="00CD5C3B" w14:paraId="25369178" w14:textId="77777777" w:rsidTr="00BA60D1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12F6E832" w14:textId="77777777" w:rsidR="002B7203" w:rsidRPr="00CD5C3B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  <w:b/>
                <w:bCs/>
              </w:rPr>
            </w:pPr>
            <w:r w:rsidRPr="00CD5C3B">
              <w:rPr>
                <w:rFonts w:ascii="Times New Roman" w:hAnsi="Times New Roman" w:cs="Times New Roman"/>
                <w:b/>
                <w:bCs/>
              </w:rPr>
              <w:lastRenderedPageBreak/>
              <w:t>INNE INFORMACJE</w:t>
            </w:r>
          </w:p>
        </w:tc>
      </w:tr>
      <w:tr w:rsidR="002B7203" w:rsidRPr="00CD5C3B" w14:paraId="69AD240D" w14:textId="77777777" w:rsidTr="00BA6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5" w:type="dxa"/>
            <w:gridSpan w:val="5"/>
          </w:tcPr>
          <w:p w14:paraId="39777120" w14:textId="77777777" w:rsidR="002B7203" w:rsidRPr="00CE5810" w:rsidRDefault="002B7203" w:rsidP="00BA60D1">
            <w:pPr>
              <w:pStyle w:val="Default"/>
            </w:pPr>
            <w:r w:rsidRPr="00CE5810">
              <w:lastRenderedPageBreak/>
              <w:t xml:space="preserve">I. Informacja o: </w:t>
            </w:r>
          </w:p>
          <w:p w14:paraId="363BABDF" w14:textId="77777777" w:rsidR="002B7203" w:rsidRPr="00D34B35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zgodzie banku, kasy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banku, kasy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korzysta-</w:t>
            </w:r>
            <w:proofErr w:type="spellStart"/>
            <w:r w:rsidRPr="00CE5810">
              <w:rPr>
                <w:rFonts w:ascii="Times New Roman" w:hAnsi="Times New Roman" w:cs="Times New Roman"/>
              </w:rPr>
              <w:t>nia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z części nieruchomości służącej zaspokajaniu potrzeb mieszkaniowych po wpłacie pełnej ceny przez nabywcę lub zobowiązaniu do jej udzielenia, jeżeli takie obciążenie istnieje; </w:t>
            </w:r>
          </w:p>
          <w:p w14:paraId="2A3D5C49" w14:textId="77777777" w:rsidR="002B7203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0F0A20EF" w14:textId="77777777" w:rsidR="002B7203" w:rsidRPr="004B468E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4B468E">
              <w:rPr>
                <w:rFonts w:ascii="Times New Roman" w:hAnsi="Times New Roman" w:cs="Times New Roman"/>
              </w:rPr>
              <w:t xml:space="preserve"> </w:t>
            </w:r>
            <w:r w:rsidRPr="00CE5810">
              <w:rPr>
                <w:rFonts w:ascii="Times New Roman" w:hAnsi="Times New Roman" w:cs="Times New Roman"/>
              </w:rPr>
              <w:t>Deweloper oświadcza, że gdyby przy umowie sprzedaży Lokalu Mieszkalnego Nieruchomość była obciążona hipoteką na rzecz wierzyciela hipotecznego – banku –</w:t>
            </w:r>
            <w:r w:rsidRPr="004B468E">
              <w:rPr>
                <w:rFonts w:ascii="Times New Roman" w:hAnsi="Times New Roman" w:cs="Times New Roman"/>
              </w:rPr>
              <w:t xml:space="preserve"> do umowy sprzedaży zobowiązuje się przedłożyć:</w:t>
            </w:r>
          </w:p>
          <w:p w14:paraId="129E1E16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zgodę banku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istnieje,:</w:t>
            </w:r>
            <w:r w:rsidRPr="00CE5810">
              <w:rPr>
                <w:rFonts w:ascii="Times New Roman" w:hAnsi="Times New Roman" w:cs="Times New Roman"/>
              </w:rPr>
              <w:br/>
              <w:t xml:space="preserve">Jeżeli nieruchomość będzie obciążona hipoteką, to Deweloper zobowiązuje się do przedstawienia zgody wierzyciela hipotecznego zgodnie z </w:t>
            </w:r>
            <w:proofErr w:type="spellStart"/>
            <w:r>
              <w:rPr>
                <w:rFonts w:ascii="Times New Roman" w:hAnsi="Times New Roman" w:cs="Times New Roman"/>
              </w:rPr>
              <w:t>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E5810">
              <w:rPr>
                <w:rFonts w:ascii="Times New Roman" w:hAnsi="Times New Roman" w:cs="Times New Roman"/>
              </w:rPr>
              <w:t>. 25 ustawy. ,</w:t>
            </w:r>
          </w:p>
          <w:p w14:paraId="56F4DA61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0A6A9169" w14:textId="77777777" w:rsidR="002B7203" w:rsidRPr="004B468E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2) w przypadku umów, o których </w:t>
            </w:r>
            <w:proofErr w:type="spellStart"/>
            <w:r w:rsidRPr="00CE5810">
              <w:rPr>
                <w:rFonts w:ascii="Times New Roman" w:hAnsi="Times New Roman" w:cs="Times New Roman"/>
              </w:rPr>
              <w:t>mowa</w:t>
            </w:r>
            <w:r>
              <w:rPr>
                <w:rFonts w:ascii="Times New Roman" w:hAnsi="Times New Roman" w:cs="Times New Roman"/>
              </w:rPr>
              <w:t>.</w:t>
            </w:r>
            <w:r w:rsidRPr="00CE5810">
              <w:rPr>
                <w:rFonts w:ascii="Times New Roman" w:hAnsi="Times New Roman" w:cs="Times New Roman"/>
              </w:rPr>
              <w:t>art</w:t>
            </w:r>
            <w:proofErr w:type="spellEnd"/>
            <w:r w:rsidRPr="00CE5810">
              <w:rPr>
                <w:rFonts w:ascii="Times New Roman" w:hAnsi="Times New Roman" w:cs="Times New Roman"/>
              </w:rPr>
              <w:t>. 2 ust. 2 ustawy z dnia 20 maja 2021 r. o ochronie praw nabywcy lokalu mieszkalnego lub domu jednorodzinnego oraz Deweloperskim Funduszu Gwarancyjnym, o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własności lokalu użytkowego na nabywcę po wpłacie pełnej ceny przez nabywcę lub zobowiązaniu do udzielenia takiej zgody,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ułamkowej części własności lokalu użytkowego po wpłacie pełnej ceny przez nabywcę lub zobowiązaniu do udzielenia takiej zgody:. </w:t>
            </w:r>
            <w:r w:rsidRPr="004B468E">
              <w:rPr>
                <w:rFonts w:ascii="Times New Roman" w:hAnsi="Times New Roman" w:cs="Times New Roman"/>
              </w:rPr>
              <w:t xml:space="preserve">  NIE DOTYCZY</w:t>
            </w:r>
          </w:p>
          <w:p w14:paraId="35591847" w14:textId="77777777" w:rsidR="002B7203" w:rsidRPr="004B468E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360518EF" w14:textId="77777777" w:rsidR="002B7203" w:rsidRPr="004B468E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7C9A6B0D" w14:textId="77777777" w:rsidR="002B7203" w:rsidRPr="004B468E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4B09D6F2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II. Informujemy o możliwości zapoznania się w lokalu przedsiębiorstwa przez osobę zainteresowaną zawarciem umowy odpowiednio do zakresu umowy z: </w:t>
            </w:r>
          </w:p>
          <w:p w14:paraId="5387DA41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1) aktualnym stanem księgi wieczystej prowadzonej dla nieruchomości; </w:t>
            </w:r>
          </w:p>
          <w:p w14:paraId="1DCCCF60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2) aktualnym odpisem, wyciągiem, zaświadczeniem lub wydrukiem komputerowym z Centralnej Informacji Krajowego Rejestru Sądowego; </w:t>
            </w:r>
          </w:p>
          <w:p w14:paraId="553C4E98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3) pozwoleniem na budowę </w:t>
            </w:r>
          </w:p>
          <w:p w14:paraId="05A00A51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4) sprawozdaniem finansowym dewelopera za ostatnie dwa lata, </w:t>
            </w:r>
          </w:p>
          <w:p w14:paraId="67B88AE2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</w:t>
            </w:r>
          </w:p>
          <w:p w14:paraId="2DB4E88E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E5810">
              <w:rPr>
                <w:rFonts w:ascii="Times New Roman" w:hAnsi="Times New Roman" w:cs="Times New Roman"/>
              </w:rPr>
              <w:t xml:space="preserve">) dokumentem potwierdzającym: </w:t>
            </w:r>
          </w:p>
          <w:p w14:paraId="104A4B02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a)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ustanowienie odrębnej własności lokalu mieszkalnego i przeniesienie jego własności na nabywcę po wpłacie pełnej ceny przez nabywcę lub zobowiązaniu do jej udzielenia,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własności nieruchomości wraz z domem jednorodzinnym lub użytkowania wieczystego nieruchomości gruntowej i własności domu jednorodzinnego stanowiącego odrębną nieruchomość, lub przeniesienie ułamkowej części własności nieruchomości wraz z prawem do wyłącznego korzystania z części nieruchomości służącej zaspokajaniu potrzeb mieszkaniowych po wpłacie pełnej ceny przez nabywcę lub zobowiązaniu do jej udzielenia:</w:t>
            </w:r>
            <w:r w:rsidRPr="00CE5810">
              <w:rPr>
                <w:rFonts w:ascii="Times New Roman" w:hAnsi="Times New Roman" w:cs="Times New Roman"/>
              </w:rPr>
              <w:br/>
              <w:t>Jeżeli nieruchomość będzie obciążona hipoteką, to Deweloper zobowiązuje się do przedstawienia zgody wierzyciela hipotecznego zgodnie z art. 25 ustawy. ,</w:t>
            </w:r>
          </w:p>
          <w:p w14:paraId="0D2C40C7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75BDDCD8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lastRenderedPageBreak/>
              <w:t>b) w przypadku umów, o których mowa w art. 2 ust. 2 ustawy z dnia 20 maja 2021 r. o ochronie praw nabywcy lokalu mieszkalnego lub domu jednorodzinnego oraz Deweloperskim Funduszu Gwarancyjnym, o zgodę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własności lokalu użytkowego na nabywcę po wpłacie pełnej ceny przez nabywcę lub zobowiązaniu do udzielenia takiej zgody, jeżeli takie obciążenie istnieje, albo zgodzie banku</w:t>
            </w:r>
            <w:r>
              <w:rPr>
                <w:rFonts w:ascii="Times New Roman" w:hAnsi="Times New Roman" w:cs="Times New Roman"/>
              </w:rPr>
              <w:t>, kasy</w:t>
            </w:r>
            <w:r w:rsidRPr="00CE5810">
              <w:rPr>
                <w:rFonts w:ascii="Times New Roman" w:hAnsi="Times New Roman" w:cs="Times New Roman"/>
              </w:rPr>
              <w:t xml:space="preserve"> lub innego wierzyciela hipotecznego na </w:t>
            </w:r>
            <w:proofErr w:type="spellStart"/>
            <w:r w:rsidRPr="00CE5810">
              <w:rPr>
                <w:rFonts w:ascii="Times New Roman" w:hAnsi="Times New Roman" w:cs="Times New Roman"/>
              </w:rPr>
              <w:t>bezobciążeniowe</w:t>
            </w:r>
            <w:proofErr w:type="spellEnd"/>
            <w:r w:rsidRPr="00CE5810">
              <w:rPr>
                <w:rFonts w:ascii="Times New Roman" w:hAnsi="Times New Roman" w:cs="Times New Roman"/>
              </w:rPr>
              <w:t xml:space="preserve"> przeniesienie na nabywcę ułamkowej części własności lokalu użytkowego po wpłacie pełnej ceny przez nabywcę lub zobowiązaniu do udzielenia takiej zgody:</w:t>
            </w:r>
            <w:r w:rsidRPr="00CE5810">
              <w:rPr>
                <w:rFonts w:ascii="Times New Roman" w:hAnsi="Times New Roman" w:cs="Times New Roman"/>
              </w:rPr>
              <w:br/>
              <w:t>Nie dotyczy</w:t>
            </w:r>
          </w:p>
          <w:p w14:paraId="0FCE4069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III. Informujemy, że</w:t>
            </w:r>
          </w:p>
          <w:p w14:paraId="7689AC05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Środki pieniężne zgromadzone w </w:t>
            </w:r>
            <w:r>
              <w:rPr>
                <w:rFonts w:ascii="Times New Roman" w:hAnsi="Times New Roman" w:cs="Times New Roman"/>
              </w:rPr>
              <w:t>Banku Rumia Spółdzielczym</w:t>
            </w:r>
            <w:r w:rsidRPr="004B468E">
              <w:rPr>
                <w:rFonts w:ascii="Times New Roman" w:hAnsi="Times New Roman" w:cs="Times New Roman"/>
              </w:rPr>
              <w:t>, Oddział w Kosakowie</w:t>
            </w:r>
            <w:r w:rsidRPr="00CE5810">
              <w:rPr>
                <w:rFonts w:ascii="Times New Roman" w:hAnsi="Times New Roman" w:cs="Times New Roman"/>
              </w:rPr>
              <w:t xml:space="preserve"> prowadzącym otwarty mieszkaniowy rachunek powierniczy, są objęte ochroną obowiązkowego systemu gwarantowania depozytów, na zasadach określonych w ustawie z dnia 10 czerwca 2016 r. o Bankowym Funduszu Gwarancyjnym, systemie gwarantowania depozytów oraz przymusowej restrukturyzacji (Dz. U. z 2020 r. poz. 842 oraz z 2021 r. poz. 680 i 1177).</w:t>
            </w:r>
          </w:p>
          <w:p w14:paraId="1A993EA5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0404F91E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Informacje podstawowe o obowiązkowym systemie gwarantowania depozytów: </w:t>
            </w:r>
          </w:p>
          <w:p w14:paraId="4DD597B7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ochrona środków dotyczy sytuacji spełnienia warunku gwarancji wobec Banku </w:t>
            </w:r>
            <w:r>
              <w:rPr>
                <w:rFonts w:ascii="Times New Roman" w:hAnsi="Times New Roman" w:cs="Times New Roman"/>
              </w:rPr>
              <w:t xml:space="preserve">Rumia </w:t>
            </w:r>
            <w:r w:rsidRPr="00CE5810">
              <w:rPr>
                <w:rFonts w:ascii="Times New Roman" w:hAnsi="Times New Roman" w:cs="Times New Roman"/>
              </w:rPr>
              <w:t>Spółdzielcz</w:t>
            </w:r>
            <w:r>
              <w:rPr>
                <w:rFonts w:ascii="Times New Roman" w:hAnsi="Times New Roman" w:cs="Times New Roman"/>
              </w:rPr>
              <w:t>y</w:t>
            </w:r>
            <w:r w:rsidRPr="004B468E">
              <w:rPr>
                <w:rFonts w:ascii="Times New Roman" w:hAnsi="Times New Roman" w:cs="Times New Roman"/>
              </w:rPr>
              <w:t>, Oddział w Kosakowie</w:t>
            </w:r>
          </w:p>
          <w:p w14:paraId="162A1A94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– w przypadku rachunku powierniczego deponentem (uprawnionym do środków gwarantowanych) jest każdy z powierzających, w granicach wynikających z jego udziału w kwocie zgromadzonej na tym rachunku, a w granicach pozostałej kwoty na rachunku prawo do środków gwarantowanych ma powiernik,</w:t>
            </w:r>
          </w:p>
          <w:p w14:paraId="684A6419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 – limit gwarancyjny przypadający na jednego deponenta to równowartość w złotych 100 000 euro; w przypadkach określonych w art. 24 ust. 3 i 4 ustawy z dnia 10 czerwca 2016 r. o Bankowym Funduszu Gwarancyjnym, systemie gwarantowania depozytów oraz przymusowej restrukturyzacji, środki deponenta, w terminie 3 miesięcy od dnia ich wpływu na rachunek, objęte są gwarancjami ponad równowartość w złotych 100 000 euro,</w:t>
            </w:r>
          </w:p>
          <w:p w14:paraId="08EF061A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podstawą wyliczenia kwoty środków gwarantowanych należnej deponentowi jest suma wszystkich podlegających ochronie należności tego deponenta od banku, w tym należności z tytułu środków zgromadzonych na jego rachunkach osobistych i z tytułu jego udziału w środkach zgromadzonych na rachunku powierniczym, </w:t>
            </w:r>
          </w:p>
          <w:p w14:paraId="54C9BFF4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>– wypłata środków gwarantowanych – co do zasady – następuje w terminie 7 dni roboczych od dnia spełnienia warunku gwarancji wobec banku, – wypłata środków gwarantowanych jest dokonywana w złotych,</w:t>
            </w:r>
          </w:p>
          <w:p w14:paraId="5AD5C96F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Bank Rumia Spółdzielczy</w:t>
            </w:r>
            <w:r w:rsidRPr="00CE5810">
              <w:rPr>
                <w:rFonts w:ascii="Times New Roman" w:hAnsi="Times New Roman" w:cs="Times New Roman"/>
              </w:rPr>
              <w:t xml:space="preserve"> korzysta także z następujących znaków towarowych:</w:t>
            </w:r>
            <w:r>
              <w:rPr>
                <w:rFonts w:ascii="Times New Roman" w:hAnsi="Times New Roman" w:cs="Times New Roman"/>
              </w:rPr>
              <w:t xml:space="preserve"> NIE DOTYCZY</w:t>
            </w:r>
          </w:p>
          <w:p w14:paraId="569D8057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73515B59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Dalsze informacje na temat systemu gwarantowania depozytów można uzyskać na stronie internetowej Bankowego Funduszu Gwarancyjnego: </w:t>
            </w:r>
            <w:hyperlink r:id="rId7" w:history="1">
              <w:r w:rsidRPr="00CE5810">
                <w:rPr>
                  <w:rStyle w:val="Hipercze"/>
                  <w:rFonts w:ascii="Times New Roman" w:hAnsi="Times New Roman" w:cs="Times New Roman"/>
                </w:rPr>
                <w:t>https://www.bfg.pl/</w:t>
              </w:r>
            </w:hyperlink>
            <w:r w:rsidRPr="00CE5810">
              <w:rPr>
                <w:rFonts w:ascii="Times New Roman" w:hAnsi="Times New Roman" w:cs="Times New Roman"/>
              </w:rPr>
              <w:t xml:space="preserve">. </w:t>
            </w:r>
          </w:p>
          <w:p w14:paraId="132A6C0E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5D801F57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IV. Informacja zamieszczana w przypadku zawarcia umowy mieszkaniowego rachunku powierniczego z oddziałem instytucji kredytowej w rozumieniu art. 4 ust. 1 pkt 18 ustawy z dnia 29 sierpnia 1997 r. – Prawo bankowe (Dz. U. z 2020 r. poz. 1896, 2320 i 2419 oraz z 2021 r. poz. 432, 680, 815 i 1177). </w:t>
            </w:r>
          </w:p>
          <w:p w14:paraId="173F26AC" w14:textId="77777777" w:rsidR="002B7203" w:rsidRPr="00CE5810" w:rsidRDefault="002B7203" w:rsidP="00BA60D1">
            <w:pPr>
              <w:pStyle w:val="Akapitzlist"/>
              <w:ind w:left="97"/>
              <w:rPr>
                <w:rFonts w:ascii="Times New Roman" w:hAnsi="Times New Roman" w:cs="Times New Roman"/>
              </w:rPr>
            </w:pPr>
          </w:p>
          <w:p w14:paraId="6CBB54B2" w14:textId="77777777" w:rsidR="002B7203" w:rsidRPr="004B468E" w:rsidRDefault="002B7203" w:rsidP="00BA60D1">
            <w:pPr>
              <w:pStyle w:val="Akapitzlist"/>
              <w:spacing w:after="160"/>
              <w:ind w:left="97"/>
              <w:rPr>
                <w:rFonts w:ascii="Times New Roman" w:hAnsi="Times New Roman" w:cs="Times New Roman"/>
              </w:rPr>
            </w:pPr>
            <w:r w:rsidRPr="00CE5810">
              <w:rPr>
                <w:rFonts w:ascii="Times New Roman" w:hAnsi="Times New Roman" w:cs="Times New Roman"/>
              </w:rPr>
              <w:t xml:space="preserve">Oddział instytucji kredytowej w rozumieniu art. 4 ust. 1 pkt 18 ustawy z dnia 29 sierpnia 1997 r. – Prawo bankowe jest objęty systemem gwarantowania państwa macierzystego, co oznacza, że nie mają do niego zastosowania przepisy ustawy z dnia 10 czerwca 2016 r. o Bankowym Funduszu Gwarancyjnym, systemie gwarantowania depozytów oraz przymusowej restrukturyzacji. </w:t>
            </w:r>
            <w:r>
              <w:rPr>
                <w:rFonts w:ascii="Times New Roman" w:hAnsi="Times New Roman" w:cs="Times New Roman"/>
              </w:rPr>
              <w:t xml:space="preserve"> Nie dotyczy </w:t>
            </w:r>
          </w:p>
        </w:tc>
      </w:tr>
    </w:tbl>
    <w:p w14:paraId="50C2DD93" w14:textId="77777777" w:rsidR="002B7203" w:rsidRDefault="002B7203"/>
    <w:sectPr w:rsidR="002B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0EC5"/>
    <w:multiLevelType w:val="hybridMultilevel"/>
    <w:tmpl w:val="09429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687C"/>
    <w:multiLevelType w:val="hybridMultilevel"/>
    <w:tmpl w:val="B784C19C"/>
    <w:lvl w:ilvl="0" w:tplc="7DE8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2F29"/>
    <w:multiLevelType w:val="hybridMultilevel"/>
    <w:tmpl w:val="50FC4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03073">
    <w:abstractNumId w:val="1"/>
  </w:num>
  <w:num w:numId="2" w16cid:durableId="376245665">
    <w:abstractNumId w:val="0"/>
  </w:num>
  <w:num w:numId="3" w16cid:durableId="115101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03"/>
    <w:rsid w:val="002B7203"/>
    <w:rsid w:val="00C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E0A"/>
  <w15:chartTrackingRefBased/>
  <w15:docId w15:val="{9579D400-0ADF-4A08-B0E4-0301DFE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20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2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2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2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2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2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2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7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720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B72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72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2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203"/>
    <w:rPr>
      <w:b/>
      <w:bCs/>
      <w:smallCaps/>
      <w:color w:val="2F5496" w:themeColor="accent1" w:themeShade="BF"/>
      <w:spacing w:val="5"/>
    </w:rPr>
  </w:style>
  <w:style w:type="table" w:styleId="Tabelasiatki2akcent2">
    <w:name w:val="Grid Table 2 Accent 2"/>
    <w:basedOn w:val="Standardowy"/>
    <w:uiPriority w:val="47"/>
    <w:rsid w:val="002B720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2B7203"/>
    <w:rPr>
      <w:color w:val="0563C1" w:themeColor="hyperlink"/>
      <w:u w:val="single"/>
    </w:rPr>
  </w:style>
  <w:style w:type="paragraph" w:customStyle="1" w:styleId="Standard">
    <w:name w:val="Standard"/>
    <w:rsid w:val="002B72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Default">
    <w:name w:val="Default"/>
    <w:rsid w:val="002B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f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ndomy.pl" TargetMode="External"/><Relationship Id="rId5" Type="http://schemas.openxmlformats.org/officeDocument/2006/relationships/hyperlink" Target="mailto:biuro@spartandom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7292</Words>
  <Characters>43754</Characters>
  <Application>Microsoft Office Word</Application>
  <DocSecurity>0</DocSecurity>
  <Lines>364</Lines>
  <Paragraphs>101</Paragraphs>
  <ScaleCrop>false</ScaleCrop>
  <Company/>
  <LinksUpToDate>false</LinksUpToDate>
  <CharactersWithSpaces>50945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Spartan Domy</dc:creator>
  <cp:keywords/>
  <dc:description/>
  <cp:lastModifiedBy>Spartan Domy</cp:lastModifiedBy>
  <cp:revision>1</cp:revision>
  <dcterms:created xsi:type="dcterms:W3CDTF">2025-08-12T11:21:00Z</dcterms:created>
  <dcterms:modified xsi:type="dcterms:W3CDTF">2025-08-12T11:21:00Z</dcterms:modified>
</cp:coreProperties>
</file>